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p>
    <w:p>
      <w:pPr>
        <w:jc w:val="both"/>
        <w:rPr>
          <w:rFonts w:hint="eastAsia" w:ascii="方正小标宋简体" w:eastAsia="方正小标宋简体"/>
          <w:sz w:val="44"/>
          <w:szCs w:val="44"/>
        </w:rPr>
      </w:pPr>
    </w:p>
    <w:p>
      <w:pPr>
        <w:jc w:val="center"/>
        <w:rPr>
          <w:rFonts w:hint="eastAsia" w:ascii="方正小标宋简体" w:eastAsia="方正小标宋简体"/>
          <w:sz w:val="44"/>
          <w:szCs w:val="44"/>
        </w:rPr>
      </w:pPr>
    </w:p>
    <w:p>
      <w:pPr>
        <w:jc w:val="center"/>
        <w:rPr>
          <w:rFonts w:hint="eastAsia" w:ascii="宋体" w:hAnsi="宋体" w:eastAsia="宋体" w:cs="宋体"/>
          <w:b/>
          <w:bCs/>
          <w:sz w:val="44"/>
          <w:szCs w:val="44"/>
        </w:rPr>
      </w:pPr>
      <w:r>
        <w:rPr>
          <w:rFonts w:hint="eastAsia" w:ascii="宋体" w:hAnsi="宋体" w:eastAsia="宋体" w:cs="宋体"/>
          <w:b/>
          <w:bCs/>
          <w:sz w:val="44"/>
          <w:szCs w:val="44"/>
        </w:rPr>
        <w:t>第</w:t>
      </w:r>
      <w:r>
        <w:rPr>
          <w:rFonts w:hint="eastAsia" w:ascii="宋体" w:hAnsi="宋体" w:eastAsia="宋体" w:cs="宋体"/>
          <w:b/>
          <w:bCs/>
          <w:sz w:val="44"/>
          <w:szCs w:val="44"/>
          <w:lang w:val="en-US" w:eastAsia="zh-CN"/>
        </w:rPr>
        <w:t>七</w:t>
      </w:r>
      <w:r>
        <w:rPr>
          <w:rFonts w:hint="eastAsia" w:ascii="宋体" w:hAnsi="宋体" w:eastAsia="宋体" w:cs="宋体"/>
          <w:b/>
          <w:bCs/>
          <w:sz w:val="44"/>
          <w:szCs w:val="44"/>
          <w:lang w:eastAsia="zh-CN"/>
        </w:rPr>
        <w:t>届</w:t>
      </w:r>
      <w:r>
        <w:rPr>
          <w:rFonts w:hint="eastAsia" w:ascii="宋体" w:hAnsi="宋体" w:eastAsia="宋体" w:cs="宋体"/>
          <w:b/>
          <w:bCs/>
          <w:sz w:val="44"/>
          <w:szCs w:val="44"/>
        </w:rPr>
        <w:t>长治技能大赛技术文件</w:t>
      </w:r>
    </w:p>
    <w:p>
      <w:pPr>
        <w:jc w:val="center"/>
        <w:rPr>
          <w:rFonts w:hint="eastAsia" w:ascii="微软雅黑" w:hAnsi="微软雅黑" w:eastAsia="微软雅黑"/>
          <w:sz w:val="72"/>
          <w:szCs w:val="72"/>
          <w:lang w:val="en-US" w:eastAsia="zh-CN"/>
        </w:rPr>
      </w:pPr>
    </w:p>
    <w:p>
      <w:pPr>
        <w:pStyle w:val="4"/>
        <w:kinsoku w:val="0"/>
        <w:overflowPunct w:val="0"/>
        <w:spacing w:line="360" w:lineRule="auto"/>
        <w:jc w:val="center"/>
        <w:rPr>
          <w:rFonts w:hint="eastAsia" w:ascii="宋体" w:hAnsi="宋体" w:eastAsia="宋体" w:cs="宋体"/>
          <w:b/>
          <w:bCs/>
          <w:spacing w:val="2"/>
          <w:sz w:val="44"/>
          <w:szCs w:val="44"/>
        </w:rPr>
      </w:pPr>
      <w:r>
        <w:rPr>
          <w:rFonts w:hint="eastAsia" w:ascii="宋体" w:hAnsi="宋体" w:eastAsia="宋体" w:cs="宋体"/>
          <w:b/>
          <w:bCs/>
          <w:spacing w:val="2"/>
          <w:sz w:val="44"/>
          <w:szCs w:val="44"/>
        </w:rPr>
        <w:t>电工</w:t>
      </w:r>
    </w:p>
    <w:p>
      <w:pPr>
        <w:pStyle w:val="4"/>
        <w:kinsoku w:val="0"/>
        <w:overflowPunct w:val="0"/>
        <w:spacing w:line="360" w:lineRule="auto"/>
        <w:jc w:val="center"/>
        <w:rPr>
          <w:rFonts w:ascii="微软雅黑" w:hAnsi="微软雅黑" w:eastAsia="微软雅黑" w:cs="微软雅黑"/>
          <w:b w:val="0"/>
          <w:bCs/>
          <w:spacing w:val="2"/>
          <w:sz w:val="44"/>
          <w:szCs w:val="44"/>
        </w:rPr>
      </w:pPr>
      <w:r>
        <w:rPr>
          <w:rFonts w:hint="eastAsia" w:ascii="宋体" w:eastAsia="宋体"/>
          <w:b w:val="0"/>
          <w:bCs/>
          <w:sz w:val="44"/>
          <w:szCs w:val="44"/>
        </w:rPr>
        <w:t>（单人赛</w:t>
      </w:r>
      <w:r>
        <w:rPr>
          <w:rFonts w:hint="eastAsia" w:ascii="宋体"/>
          <w:b w:val="0"/>
          <w:bCs/>
          <w:sz w:val="44"/>
          <w:szCs w:val="44"/>
          <w:lang w:eastAsia="zh-CN"/>
        </w:rPr>
        <w:t>项</w:t>
      </w:r>
      <w:r>
        <w:rPr>
          <w:rFonts w:hint="eastAsia" w:ascii="宋体" w:eastAsia="宋体"/>
          <w:b w:val="0"/>
          <w:bCs/>
          <w:sz w:val="44"/>
          <w:szCs w:val="44"/>
        </w:rPr>
        <w:t>）</w:t>
      </w:r>
    </w:p>
    <w:p>
      <w:pPr>
        <w:pStyle w:val="4"/>
        <w:kinsoku w:val="0"/>
        <w:overflowPunct w:val="0"/>
        <w:spacing w:line="360" w:lineRule="auto"/>
        <w:jc w:val="center"/>
        <w:rPr>
          <w:rFonts w:ascii="微软雅黑" w:hAnsi="微软雅黑" w:eastAsia="微软雅黑" w:cs="微软雅黑"/>
          <w:spacing w:val="2"/>
          <w:sz w:val="43"/>
          <w:szCs w:val="43"/>
        </w:rPr>
      </w:pPr>
    </w:p>
    <w:p>
      <w:pPr>
        <w:pStyle w:val="4"/>
        <w:kinsoku w:val="0"/>
        <w:overflowPunct w:val="0"/>
        <w:spacing w:line="360" w:lineRule="auto"/>
        <w:jc w:val="center"/>
        <w:rPr>
          <w:rFonts w:hint="eastAsia" w:ascii="微软雅黑" w:hAnsi="微软雅黑" w:eastAsia="微软雅黑" w:cs="微软雅黑"/>
          <w:spacing w:val="2"/>
          <w:sz w:val="43"/>
          <w:szCs w:val="43"/>
          <w:lang w:val="en-US" w:eastAsia="zh-CN"/>
        </w:rPr>
      </w:pPr>
    </w:p>
    <w:p>
      <w:pPr>
        <w:pStyle w:val="4"/>
        <w:kinsoku w:val="0"/>
        <w:overflowPunct w:val="0"/>
        <w:spacing w:line="360" w:lineRule="auto"/>
        <w:rPr>
          <w:rFonts w:hint="eastAsia" w:eastAsia="宋体"/>
          <w:b/>
          <w:sz w:val="72"/>
          <w:lang w:val="en-US" w:eastAsia="zh-CN"/>
        </w:rPr>
      </w:pPr>
      <w:r>
        <w:rPr>
          <w:rFonts w:hint="eastAsia"/>
          <w:b/>
          <w:sz w:val="72"/>
          <w:lang w:val="en-US" w:eastAsia="zh-CN"/>
        </w:rPr>
        <w:t xml:space="preserve">      </w:t>
      </w:r>
      <w:r>
        <w:rPr>
          <w:rFonts w:hint="eastAsia" w:ascii="方正小标宋简体" w:eastAsia="方正小标宋简体"/>
          <w:sz w:val="44"/>
          <w:szCs w:val="44"/>
        </w:rPr>
        <w:drawing>
          <wp:inline distT="0" distB="0" distL="114300" distR="114300">
            <wp:extent cx="1899920" cy="1757680"/>
            <wp:effectExtent l="0" t="0" r="5080" b="10160"/>
            <wp:docPr id="3" name="图片 2" descr="C:\Documents and Settings\Administrator\桌面\技能大赛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C:\Documents and Settings\Administrator\桌面\技能大赛logo.jpg"/>
                    <pic:cNvPicPr>
                      <a:picLocks noChangeAspect="1"/>
                    </pic:cNvPicPr>
                  </pic:nvPicPr>
                  <pic:blipFill>
                    <a:blip r:embed="rId8"/>
                    <a:stretch>
                      <a:fillRect/>
                    </a:stretch>
                  </pic:blipFill>
                  <pic:spPr>
                    <a:xfrm>
                      <a:off x="0" y="0"/>
                      <a:ext cx="1899920" cy="1757680"/>
                    </a:xfrm>
                    <a:prstGeom prst="rect">
                      <a:avLst/>
                    </a:prstGeom>
                    <a:noFill/>
                    <a:ln>
                      <a:noFill/>
                    </a:ln>
                  </pic:spPr>
                </pic:pic>
              </a:graphicData>
            </a:graphic>
          </wp:inline>
        </w:drawing>
      </w:r>
      <w:r>
        <w:rPr>
          <w:rFonts w:hint="eastAsia"/>
          <w:b/>
          <w:sz w:val="72"/>
          <w:lang w:val="en-US" w:eastAsia="zh-CN"/>
        </w:rPr>
        <w:t xml:space="preserve">  </w:t>
      </w:r>
    </w:p>
    <w:p>
      <w:pPr>
        <w:jc w:val="center"/>
        <w:rPr>
          <w:rFonts w:hint="eastAsia"/>
          <w:b/>
          <w:sz w:val="72"/>
          <w:lang w:val="en-US" w:eastAsia="zh-CN"/>
        </w:rPr>
      </w:pPr>
      <w:r>
        <w:rPr>
          <w:rFonts w:hint="eastAsia"/>
          <w:b/>
          <w:sz w:val="72"/>
          <w:lang w:val="en-US" w:eastAsia="zh-CN"/>
        </w:rPr>
        <w:t xml:space="preserve">          </w:t>
      </w:r>
    </w:p>
    <w:p>
      <w:pPr>
        <w:jc w:val="center"/>
        <w:rPr>
          <w:rFonts w:hint="eastAsia"/>
          <w:b/>
          <w:sz w:val="72"/>
          <w:lang w:val="en-US" w:eastAsia="zh-CN"/>
        </w:rPr>
      </w:pPr>
    </w:p>
    <w:p>
      <w:pPr>
        <w:jc w:val="center"/>
        <w:rPr>
          <w:rFonts w:ascii="方正小标宋简体" w:eastAsia="方正小标宋简体"/>
          <w:sz w:val="32"/>
          <w:szCs w:val="32"/>
        </w:rPr>
      </w:pPr>
      <w:r>
        <w:rPr>
          <w:rFonts w:hint="eastAsia" w:ascii="方正小标宋简体" w:eastAsia="方正小标宋简体"/>
          <w:sz w:val="32"/>
          <w:szCs w:val="32"/>
        </w:rPr>
        <w:t>第</w:t>
      </w:r>
      <w:r>
        <w:rPr>
          <w:rFonts w:hint="eastAsia" w:ascii="方正小标宋简体" w:eastAsia="方正小标宋简体"/>
          <w:sz w:val="32"/>
          <w:szCs w:val="32"/>
          <w:lang w:val="en-US" w:eastAsia="zh-CN"/>
        </w:rPr>
        <w:t>七</w:t>
      </w:r>
      <w:r>
        <w:rPr>
          <w:rFonts w:hint="eastAsia" w:ascii="方正小标宋简体" w:eastAsia="方正小标宋简体"/>
          <w:sz w:val="32"/>
          <w:szCs w:val="32"/>
        </w:rPr>
        <w:t>届长治技能大赛组委会</w:t>
      </w:r>
    </w:p>
    <w:p>
      <w:pPr>
        <w:jc w:val="center"/>
        <w:rPr>
          <w:rFonts w:ascii="方正小标宋简体" w:eastAsia="方正小标宋简体"/>
          <w:sz w:val="44"/>
          <w:szCs w:val="44"/>
        </w:rPr>
      </w:pPr>
      <w:r>
        <w:rPr>
          <w:rFonts w:hint="eastAsia" w:ascii="方正小标宋简体" w:eastAsia="方正小标宋简体"/>
          <w:sz w:val="32"/>
          <w:szCs w:val="32"/>
        </w:rPr>
        <w:t>20</w:t>
      </w:r>
      <w:r>
        <w:rPr>
          <w:rFonts w:hint="eastAsia" w:ascii="方正小标宋简体" w:eastAsia="方正小标宋简体"/>
          <w:sz w:val="32"/>
          <w:szCs w:val="32"/>
          <w:lang w:val="en-US" w:eastAsia="zh-CN"/>
        </w:rPr>
        <w:t>25</w:t>
      </w:r>
      <w:r>
        <w:rPr>
          <w:rFonts w:hint="eastAsia" w:ascii="方正小标宋简体" w:eastAsia="方正小标宋简体"/>
          <w:sz w:val="32"/>
          <w:szCs w:val="32"/>
        </w:rPr>
        <w:t>年</w:t>
      </w:r>
      <w:r>
        <w:rPr>
          <w:rFonts w:hint="eastAsia" w:ascii="方正小标宋简体" w:eastAsia="方正小标宋简体"/>
          <w:sz w:val="32"/>
          <w:szCs w:val="32"/>
          <w:lang w:val="en-US" w:eastAsia="zh-CN"/>
        </w:rPr>
        <w:t>8</w:t>
      </w:r>
      <w:bookmarkStart w:id="16" w:name="_GoBack"/>
      <w:bookmarkEnd w:id="16"/>
      <w:r>
        <w:rPr>
          <w:rFonts w:hint="eastAsia" w:ascii="方正小标宋简体" w:eastAsia="方正小标宋简体"/>
          <w:sz w:val="32"/>
          <w:szCs w:val="32"/>
        </w:rPr>
        <w:t>月</w:t>
      </w:r>
    </w:p>
    <w:p>
      <w:pPr>
        <w:tabs>
          <w:tab w:val="left" w:pos="4680"/>
        </w:tabs>
        <w:spacing w:line="360" w:lineRule="auto"/>
        <w:ind w:firstLine="0" w:firstLineChars="0"/>
        <w:jc w:val="both"/>
        <w:rPr>
          <w:rFonts w:ascii="黑体" w:hAnsi="黑体" w:eastAsia="黑体"/>
          <w:b/>
          <w:bCs/>
          <w:sz w:val="28"/>
          <w:szCs w:val="24"/>
        </w:rPr>
      </w:pPr>
      <w:bookmarkStart w:id="0" w:name="_bookmark1"/>
      <w:bookmarkEnd w:id="0"/>
      <w:bookmarkStart w:id="1" w:name="_Toc483770323"/>
    </w:p>
    <w:p>
      <w:pPr>
        <w:tabs>
          <w:tab w:val="left" w:pos="4680"/>
        </w:tabs>
        <w:spacing w:line="360" w:lineRule="auto"/>
        <w:ind w:firstLine="0" w:firstLineChars="0"/>
        <w:jc w:val="center"/>
        <w:rPr>
          <w:rFonts w:ascii="黑体" w:hAnsi="黑体" w:eastAsia="黑体"/>
          <w:b/>
          <w:bCs/>
          <w:sz w:val="28"/>
          <w:szCs w:val="24"/>
        </w:rPr>
      </w:pPr>
    </w:p>
    <w:p>
      <w:pPr>
        <w:jc w:val="center"/>
        <w:rPr>
          <w:rFonts w:hint="eastAsia" w:asciiTheme="minorEastAsia" w:hAnsiTheme="minorEastAsia" w:eastAsiaTheme="minorEastAsia" w:cstheme="minorEastAsia"/>
          <w:b/>
          <w:sz w:val="44"/>
          <w:szCs w:val="44"/>
        </w:rPr>
        <w:sectPr>
          <w:footerReference r:id="rId3" w:type="default"/>
          <w:pgSz w:w="11910" w:h="16840"/>
          <w:pgMar w:top="400" w:right="1268" w:bottom="1225" w:left="1268" w:header="0" w:footer="1049" w:gutter="0"/>
          <w:cols w:space="720" w:num="1"/>
        </w:sectPr>
      </w:pPr>
    </w:p>
    <w:bookmarkEnd w:id="1"/>
    <w:p>
      <w:pPr>
        <w:spacing w:before="100" w:line="229" w:lineRule="auto"/>
        <w:ind w:left="0" w:leftChars="0" w:firstLine="0" w:firstLineChars="0"/>
        <w:rPr>
          <w:rFonts w:ascii="仿宋" w:hAnsi="仿宋" w:eastAsia="仿宋" w:cs="仿宋"/>
          <w:b/>
          <w:bCs/>
          <w:spacing w:val="-38"/>
          <w:sz w:val="31"/>
          <w:szCs w:val="31"/>
        </w:rPr>
      </w:pPr>
    </w:p>
    <w:p>
      <w:pPr>
        <w:spacing w:before="100" w:line="229" w:lineRule="auto"/>
        <w:ind w:left="4153"/>
        <w:rPr>
          <w:rFonts w:hint="eastAsia" w:ascii="宋体" w:hAnsi="宋体" w:eastAsia="宋体" w:cs="宋体"/>
          <w:b/>
          <w:bCs/>
          <w:sz w:val="30"/>
          <w:szCs w:val="30"/>
        </w:rPr>
      </w:pPr>
      <w:r>
        <w:rPr>
          <w:rFonts w:hint="eastAsia" w:ascii="宋体" w:hAnsi="宋体" w:eastAsia="宋体" w:cs="宋体"/>
          <w:b/>
          <w:bCs/>
          <w:spacing w:val="-38"/>
          <w:sz w:val="30"/>
          <w:szCs w:val="30"/>
        </w:rPr>
        <w:t>目</w:t>
      </w:r>
      <w:r>
        <w:rPr>
          <w:rFonts w:hint="eastAsia" w:ascii="宋体" w:hAnsi="宋体" w:eastAsia="宋体" w:cs="宋体"/>
          <w:b/>
          <w:bCs/>
          <w:spacing w:val="120"/>
          <w:sz w:val="30"/>
          <w:szCs w:val="30"/>
        </w:rPr>
        <w:t xml:space="preserve"> </w:t>
      </w:r>
      <w:r>
        <w:rPr>
          <w:rFonts w:hint="eastAsia" w:ascii="宋体" w:hAnsi="宋体" w:eastAsia="宋体" w:cs="宋体"/>
          <w:b/>
          <w:bCs/>
          <w:spacing w:val="-38"/>
          <w:sz w:val="30"/>
          <w:szCs w:val="30"/>
        </w:rPr>
        <w:t>录</w:t>
      </w:r>
    </w:p>
    <w:p>
      <w:pPr>
        <w:keepNext w:val="0"/>
        <w:keepLines w:val="0"/>
        <w:pageBreakBefore w:val="0"/>
        <w:widowControl w:val="0"/>
        <w:tabs>
          <w:tab w:val="right" w:leader="dot" w:pos="9060"/>
        </w:tabs>
        <w:kinsoku/>
        <w:wordWrap/>
        <w:overflowPunct/>
        <w:topLinePunct w:val="0"/>
        <w:autoSpaceDE/>
        <w:autoSpaceDN/>
        <w:bidi w:val="0"/>
        <w:adjustRightInd/>
        <w:snapToGrid/>
        <w:spacing w:before="183" w:line="228" w:lineRule="auto"/>
        <w:jc w:val="left"/>
        <w:textAlignment w:val="auto"/>
        <w:outlineLvl w:val="0"/>
        <w:rPr>
          <w:rFonts w:hint="eastAsia" w:ascii="宋体" w:hAnsi="宋体" w:eastAsia="宋体" w:cs="宋体"/>
          <w:b/>
          <w:bCs/>
          <w:sz w:val="30"/>
          <w:szCs w:val="30"/>
        </w:rPr>
      </w:pPr>
      <w:r>
        <w:rPr>
          <w:rFonts w:hint="eastAsia" w:ascii="宋体" w:hAnsi="宋体" w:eastAsia="宋体" w:cs="宋体"/>
          <w:b/>
          <w:bCs/>
          <w:sz w:val="30"/>
          <w:szCs w:val="30"/>
        </w:rPr>
        <w:t>一、技术描述</w:t>
      </w:r>
      <w:r>
        <w:rPr>
          <w:rFonts w:hint="eastAsia" w:ascii="宋体" w:hAnsi="宋体" w:eastAsia="宋体" w:cs="宋体"/>
          <w:b/>
          <w:bCs/>
          <w:sz w:val="30"/>
          <w:szCs w:val="30"/>
        </w:rPr>
        <w:tab/>
      </w:r>
      <w:r>
        <w:rPr>
          <w:rFonts w:hint="eastAsia" w:ascii="宋体" w:hAnsi="宋体" w:eastAsia="宋体" w:cs="宋体"/>
          <w:b/>
          <w:bCs/>
          <w:sz w:val="30"/>
          <w:szCs w:val="30"/>
          <w:lang w:val="en-US" w:eastAsia="zh-CN"/>
        </w:rPr>
        <w:t>1</w:t>
      </w:r>
    </w:p>
    <w:p>
      <w:pPr>
        <w:tabs>
          <w:tab w:val="right" w:leader="dot" w:pos="9060"/>
        </w:tabs>
        <w:spacing w:before="183" w:line="229" w:lineRule="auto"/>
        <w:outlineLvl w:val="0"/>
        <w:rPr>
          <w:rFonts w:hint="eastAsia" w:ascii="宋体" w:hAnsi="宋体" w:eastAsia="宋体" w:cs="宋体"/>
          <w:b/>
          <w:bCs/>
          <w:sz w:val="30"/>
          <w:szCs w:val="30"/>
        </w:rPr>
      </w:pPr>
      <w:bookmarkStart w:id="2" w:name="bookmark2"/>
      <w:bookmarkEnd w:id="2"/>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"bookmark2"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 xml:space="preserve">二、试题与评判标准 </w:t>
      </w:r>
      <w:r>
        <w:rPr>
          <w:rFonts w:hint="eastAsia" w:ascii="宋体" w:hAnsi="宋体" w:eastAsia="宋体" w:cs="宋体"/>
          <w:b/>
          <w:bCs/>
          <w:sz w:val="30"/>
          <w:szCs w:val="30"/>
        </w:rPr>
        <w:tab/>
      </w:r>
      <w:r>
        <w:rPr>
          <w:rFonts w:hint="eastAsia" w:ascii="宋体" w:hAnsi="宋体" w:cs="宋体"/>
          <w:b/>
          <w:bCs/>
          <w:sz w:val="30"/>
          <w:szCs w:val="30"/>
          <w:lang w:val="en-US" w:eastAsia="zh-CN"/>
        </w:rPr>
        <w:t>4</w:t>
      </w:r>
      <w:r>
        <w:rPr>
          <w:rFonts w:hint="eastAsia" w:ascii="宋体" w:hAnsi="宋体" w:eastAsia="宋体" w:cs="宋体"/>
          <w:b/>
          <w:bCs/>
          <w:sz w:val="30"/>
          <w:szCs w:val="30"/>
        </w:rPr>
        <w:fldChar w:fldCharType="end"/>
      </w:r>
    </w:p>
    <w:p>
      <w:pPr>
        <w:tabs>
          <w:tab w:val="right" w:leader="dot" w:pos="9060"/>
        </w:tabs>
        <w:spacing w:before="183" w:line="229" w:lineRule="auto"/>
        <w:outlineLvl w:val="0"/>
        <w:rPr>
          <w:rFonts w:hint="eastAsia" w:ascii="宋体" w:hAnsi="宋体" w:eastAsia="宋体" w:cs="宋体"/>
          <w:b/>
          <w:bCs/>
          <w:sz w:val="30"/>
          <w:szCs w:val="30"/>
          <w:lang w:val="en-US" w:eastAsia="zh-CN"/>
        </w:rPr>
      </w:pPr>
      <w:bookmarkStart w:id="3" w:name="bookmark3"/>
      <w:bookmarkEnd w:id="3"/>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"bookmark6"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 xml:space="preserve">三、竞赛细则 </w:t>
      </w:r>
      <w:r>
        <w:rPr>
          <w:rFonts w:hint="eastAsia" w:ascii="宋体" w:hAnsi="宋体" w:eastAsia="宋体" w:cs="宋体"/>
          <w:b/>
          <w:bCs/>
          <w:sz w:val="30"/>
          <w:szCs w:val="30"/>
        </w:rPr>
        <w:tab/>
      </w:r>
      <w:r>
        <w:rPr>
          <w:rFonts w:hint="eastAsia" w:ascii="宋体" w:hAnsi="宋体" w:eastAsia="宋体" w:cs="宋体"/>
          <w:b/>
          <w:bCs/>
          <w:sz w:val="30"/>
          <w:szCs w:val="30"/>
        </w:rPr>
        <w:t xml:space="preserve"> </w:t>
      </w:r>
      <w:r>
        <w:rPr>
          <w:rFonts w:hint="eastAsia" w:ascii="宋体" w:hAnsi="宋体" w:eastAsia="宋体" w:cs="宋体"/>
          <w:b/>
          <w:bCs/>
          <w:sz w:val="30"/>
          <w:szCs w:val="30"/>
        </w:rPr>
        <w:fldChar w:fldCharType="end"/>
      </w:r>
      <w:r>
        <w:rPr>
          <w:rFonts w:hint="eastAsia" w:ascii="宋体" w:hAnsi="宋体" w:cs="宋体"/>
          <w:b/>
          <w:bCs/>
          <w:sz w:val="30"/>
          <w:szCs w:val="30"/>
          <w:lang w:val="en-US" w:eastAsia="zh-CN"/>
        </w:rPr>
        <w:t>8</w:t>
      </w:r>
    </w:p>
    <w:p>
      <w:pPr>
        <w:tabs>
          <w:tab w:val="right" w:leader="dot" w:pos="9060"/>
        </w:tabs>
        <w:spacing w:before="183" w:line="229" w:lineRule="auto"/>
        <w:outlineLvl w:val="0"/>
        <w:rPr>
          <w:rFonts w:hint="default" w:ascii="宋体" w:hAnsi="宋体" w:eastAsia="宋体" w:cs="宋体"/>
          <w:b/>
          <w:bCs/>
          <w:sz w:val="30"/>
          <w:szCs w:val="30"/>
          <w:lang w:val="en-US" w:eastAsia="zh-CN"/>
        </w:rPr>
      </w:pPr>
      <w:bookmarkStart w:id="4" w:name="bookmark9"/>
      <w:bookmarkEnd w:id="4"/>
      <w:bookmarkStart w:id="5" w:name="bookmark7"/>
      <w:bookmarkEnd w:id="5"/>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"bookmark9"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 xml:space="preserve">四、竞赛场地、设施设备等安排 </w:t>
      </w:r>
      <w:r>
        <w:rPr>
          <w:rFonts w:hint="eastAsia" w:ascii="宋体" w:hAnsi="宋体" w:eastAsia="宋体" w:cs="宋体"/>
          <w:b/>
          <w:bCs/>
          <w:sz w:val="30"/>
          <w:szCs w:val="30"/>
        </w:rPr>
        <w:tab/>
      </w:r>
      <w:r>
        <w:rPr>
          <w:rFonts w:hint="eastAsia" w:ascii="宋体" w:hAnsi="宋体" w:eastAsia="宋体" w:cs="宋体"/>
          <w:b/>
          <w:bCs/>
          <w:sz w:val="30"/>
          <w:szCs w:val="30"/>
        </w:rPr>
        <w:fldChar w:fldCharType="end"/>
      </w:r>
      <w:r>
        <w:rPr>
          <w:rFonts w:hint="eastAsia" w:ascii="宋体" w:hAnsi="宋体" w:cs="宋体"/>
          <w:b/>
          <w:bCs/>
          <w:sz w:val="30"/>
          <w:szCs w:val="30"/>
          <w:lang w:val="en-US" w:eastAsia="zh-CN"/>
        </w:rPr>
        <w:t>13</w:t>
      </w:r>
    </w:p>
    <w:p>
      <w:pPr>
        <w:tabs>
          <w:tab w:val="right" w:leader="dot" w:pos="9060"/>
        </w:tabs>
        <w:spacing w:before="183" w:line="229" w:lineRule="auto"/>
        <w:outlineLvl w:val="0"/>
        <w:rPr>
          <w:rFonts w:hint="default" w:ascii="宋体" w:hAnsi="宋体" w:eastAsia="宋体" w:cs="宋体"/>
          <w:b/>
          <w:bCs/>
          <w:sz w:val="30"/>
          <w:szCs w:val="30"/>
          <w:lang w:val="en-US" w:eastAsia="zh-CN"/>
        </w:rPr>
      </w:pPr>
      <w:bookmarkStart w:id="6" w:name="bookmark13"/>
      <w:bookmarkEnd w:id="6"/>
      <w:bookmarkStart w:id="7" w:name="bookmark10"/>
      <w:bookmarkEnd w:id="7"/>
      <w:r>
        <w:rPr>
          <w:rFonts w:hint="eastAsia" w:ascii="宋体" w:hAnsi="宋体" w:eastAsia="宋体" w:cs="宋体"/>
          <w:b/>
          <w:bCs/>
          <w:sz w:val="30"/>
          <w:szCs w:val="30"/>
        </w:rPr>
        <w:fldChar w:fldCharType="begin"/>
      </w:r>
      <w:r>
        <w:rPr>
          <w:rFonts w:hint="eastAsia" w:ascii="宋体" w:hAnsi="宋体" w:eastAsia="宋体" w:cs="宋体"/>
          <w:b/>
          <w:bCs/>
          <w:sz w:val="30"/>
          <w:szCs w:val="30"/>
        </w:rPr>
        <w:instrText xml:space="preserve"> HYPERLINK \l "bookmark13" </w:instrText>
      </w:r>
      <w:r>
        <w:rPr>
          <w:rFonts w:hint="eastAsia" w:ascii="宋体" w:hAnsi="宋体" w:eastAsia="宋体" w:cs="宋体"/>
          <w:b/>
          <w:bCs/>
          <w:sz w:val="30"/>
          <w:szCs w:val="30"/>
        </w:rPr>
        <w:fldChar w:fldCharType="separate"/>
      </w:r>
      <w:r>
        <w:rPr>
          <w:rFonts w:hint="eastAsia" w:ascii="宋体" w:hAnsi="宋体" w:eastAsia="宋体" w:cs="宋体"/>
          <w:b/>
          <w:bCs/>
          <w:sz w:val="30"/>
          <w:szCs w:val="30"/>
        </w:rPr>
        <w:t xml:space="preserve">五、安全、健康要求 </w:t>
      </w:r>
      <w:r>
        <w:rPr>
          <w:rFonts w:hint="eastAsia" w:ascii="宋体" w:hAnsi="宋体" w:eastAsia="宋体" w:cs="宋体"/>
          <w:b/>
          <w:bCs/>
          <w:sz w:val="30"/>
          <w:szCs w:val="30"/>
        </w:rPr>
        <w:tab/>
      </w:r>
      <w:r>
        <w:rPr>
          <w:rFonts w:hint="eastAsia" w:ascii="宋体" w:hAnsi="宋体" w:eastAsia="宋体" w:cs="宋体"/>
          <w:b/>
          <w:bCs/>
          <w:sz w:val="30"/>
          <w:szCs w:val="30"/>
        </w:rPr>
        <w:fldChar w:fldCharType="end"/>
      </w:r>
      <w:r>
        <w:rPr>
          <w:rFonts w:hint="eastAsia" w:ascii="宋体" w:hAnsi="宋体" w:cs="宋体"/>
          <w:b/>
          <w:bCs/>
          <w:sz w:val="30"/>
          <w:szCs w:val="30"/>
          <w:lang w:val="en-US" w:eastAsia="zh-CN"/>
        </w:rPr>
        <w:t>18</w:t>
      </w:r>
    </w:p>
    <w:p>
      <w:pPr>
        <w:tabs>
          <w:tab w:val="right" w:leader="dot" w:pos="9060"/>
        </w:tabs>
        <w:spacing w:before="183" w:line="229" w:lineRule="auto"/>
        <w:outlineLvl w:val="0"/>
        <w:rPr>
          <w:rFonts w:hint="default" w:ascii="宋体" w:hAnsi="宋体" w:eastAsia="宋体" w:cs="宋体"/>
          <w:b/>
          <w:bCs/>
          <w:sz w:val="30"/>
          <w:szCs w:val="30"/>
          <w:lang w:val="en-US" w:eastAsia="zh-CN"/>
        </w:rPr>
      </w:pPr>
      <w:bookmarkStart w:id="8" w:name="bookmark14"/>
      <w:bookmarkEnd w:id="8"/>
      <w:r>
        <w:rPr>
          <w:rFonts w:hint="eastAsia" w:ascii="宋体" w:hAnsi="宋体" w:eastAsia="宋体" w:cs="宋体"/>
          <w:b/>
          <w:bCs/>
          <w:sz w:val="30"/>
          <w:szCs w:val="30"/>
          <w:lang w:val="en-US" w:eastAsia="zh-CN"/>
        </w:rPr>
        <w:t>六</w:t>
      </w:r>
      <w:r>
        <w:rPr>
          <w:rFonts w:hint="eastAsia" w:ascii="宋体" w:hAnsi="宋体" w:eastAsia="宋体" w:cs="宋体"/>
          <w:b/>
          <w:bCs/>
          <w:sz w:val="30"/>
          <w:szCs w:val="30"/>
        </w:rPr>
        <w:t>、</w:t>
      </w:r>
      <w:r>
        <w:rPr>
          <w:rFonts w:hint="eastAsia" w:ascii="宋体" w:hAnsi="宋体" w:eastAsia="宋体" w:cs="宋体"/>
          <w:b/>
          <w:bCs/>
          <w:sz w:val="30"/>
          <w:szCs w:val="30"/>
          <w:lang w:val="en-US" w:eastAsia="zh-CN"/>
        </w:rPr>
        <w:t>样题及设备情况</w:t>
      </w:r>
      <w:r>
        <w:rPr>
          <w:rFonts w:hint="eastAsia" w:ascii="宋体" w:hAnsi="宋体" w:eastAsia="宋体" w:cs="宋体"/>
          <w:b/>
          <w:bCs/>
          <w:sz w:val="30"/>
          <w:szCs w:val="30"/>
        </w:rPr>
        <w:tab/>
      </w:r>
      <w:r>
        <w:rPr>
          <w:rFonts w:hint="eastAsia" w:ascii="宋体" w:hAnsi="宋体" w:cs="宋体"/>
          <w:b/>
          <w:bCs/>
          <w:sz w:val="30"/>
          <w:szCs w:val="30"/>
          <w:lang w:val="en-US" w:eastAsia="zh-CN"/>
        </w:rPr>
        <w:t>21</w:t>
      </w: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tabs>
          <w:tab w:val="right" w:leader="dot" w:pos="9060"/>
        </w:tabs>
        <w:spacing w:before="183" w:line="229" w:lineRule="auto"/>
        <w:rPr>
          <w:rFonts w:ascii="Times New Roman" w:hAnsi="Times New Roman" w:eastAsia="Times New Roman" w:cs="Times New Roman"/>
          <w:sz w:val="31"/>
          <w:szCs w:val="31"/>
        </w:rPr>
      </w:pPr>
    </w:p>
    <w:p>
      <w:pPr>
        <w:keepNext w:val="0"/>
        <w:keepLines w:val="0"/>
        <w:pageBreakBefore w:val="0"/>
        <w:widowControl w:val="0"/>
        <w:kinsoku/>
        <w:wordWrap/>
        <w:overflowPunct/>
        <w:topLinePunct w:val="0"/>
        <w:autoSpaceDE/>
        <w:autoSpaceDN/>
        <w:bidi w:val="0"/>
        <w:adjustRightInd/>
        <w:snapToGrid/>
        <w:spacing w:before="91" w:line="360" w:lineRule="atLeast"/>
        <w:ind w:right="693"/>
        <w:textAlignment w:val="auto"/>
        <w:rPr>
          <w:rFonts w:ascii="宋体" w:hAnsi="宋体" w:eastAsia="宋体" w:cs="宋体"/>
          <w:b/>
          <w:bCs/>
          <w:spacing w:val="-3"/>
          <w:sz w:val="28"/>
          <w:szCs w:val="28"/>
        </w:rPr>
      </w:pPr>
    </w:p>
    <w:p>
      <w:pPr>
        <w:keepNext w:val="0"/>
        <w:keepLines w:val="0"/>
        <w:pageBreakBefore w:val="0"/>
        <w:widowControl w:val="0"/>
        <w:kinsoku/>
        <w:wordWrap/>
        <w:overflowPunct/>
        <w:topLinePunct w:val="0"/>
        <w:autoSpaceDE/>
        <w:autoSpaceDN/>
        <w:bidi w:val="0"/>
        <w:adjustRightInd/>
        <w:snapToGrid/>
        <w:spacing w:before="91" w:line="360" w:lineRule="atLeast"/>
        <w:ind w:right="693"/>
        <w:textAlignment w:val="auto"/>
        <w:rPr>
          <w:rFonts w:ascii="宋体" w:hAnsi="宋体" w:eastAsia="宋体" w:cs="宋体"/>
          <w:b/>
          <w:bCs/>
          <w:spacing w:val="-3"/>
          <w:sz w:val="28"/>
          <w:szCs w:val="28"/>
        </w:rPr>
        <w:sectPr>
          <w:footerReference r:id="rId4" w:type="default"/>
          <w:pgSz w:w="11910" w:h="16840"/>
          <w:pgMar w:top="1225" w:right="1268" w:bottom="1225" w:left="1268" w:header="0" w:footer="1049" w:gutter="0"/>
          <w:pgNumType w:fmt="decimal" w:start="1"/>
          <w:cols w:space="720" w:num="1"/>
        </w:sectPr>
      </w:pPr>
    </w:p>
    <w:p>
      <w:pPr>
        <w:keepNext w:val="0"/>
        <w:keepLines w:val="0"/>
        <w:pageBreakBefore w:val="0"/>
        <w:widowControl w:val="0"/>
        <w:kinsoku/>
        <w:wordWrap/>
        <w:overflowPunct/>
        <w:topLinePunct w:val="0"/>
        <w:autoSpaceDE/>
        <w:autoSpaceDN/>
        <w:bidi w:val="0"/>
        <w:adjustRightInd/>
        <w:snapToGrid/>
        <w:spacing w:before="91" w:line="360" w:lineRule="atLeast"/>
        <w:ind w:right="693" w:firstLine="550" w:firstLineChars="200"/>
        <w:textAlignment w:val="auto"/>
        <w:rPr>
          <w:rFonts w:ascii="宋体" w:hAnsi="宋体" w:eastAsia="宋体" w:cs="宋体"/>
          <w:sz w:val="28"/>
          <w:szCs w:val="28"/>
        </w:rPr>
      </w:pPr>
      <w:r>
        <w:rPr>
          <w:rFonts w:ascii="宋体" w:hAnsi="宋体" w:eastAsia="宋体" w:cs="宋体"/>
          <w:b/>
          <w:bCs/>
          <w:spacing w:val="-3"/>
          <w:sz w:val="28"/>
          <w:szCs w:val="28"/>
        </w:rPr>
        <w:t>本技术工作文件是对电工项目技术规则和竞赛试题的框架性描述，正式比赛内容及要求以竞赛最终的赛题为准。</w:t>
      </w:r>
    </w:p>
    <w:p>
      <w:pPr>
        <w:pStyle w:val="2"/>
        <w:keepNext/>
        <w:keepLines/>
        <w:pageBreakBefore w:val="0"/>
        <w:widowControl w:val="0"/>
        <w:kinsoku/>
        <w:wordWrap/>
        <w:overflowPunct/>
        <w:topLinePunct w:val="0"/>
        <w:autoSpaceDE/>
        <w:autoSpaceDN/>
        <w:bidi w:val="0"/>
        <w:adjustRightInd/>
        <w:snapToGrid/>
        <w:spacing w:after="160" w:afterLines="0"/>
        <w:textAlignment w:val="auto"/>
      </w:pPr>
      <w:r>
        <w:t>一、技术描述</w:t>
      </w:r>
    </w:p>
    <w:p>
      <w:pPr>
        <w:pStyle w:val="3"/>
        <w:keepNext/>
        <w:keepLines/>
        <w:pageBreakBefore w:val="0"/>
        <w:widowControl w:val="0"/>
        <w:kinsoku/>
        <w:wordWrap/>
        <w:overflowPunct/>
        <w:topLinePunct w:val="0"/>
        <w:autoSpaceDE/>
        <w:autoSpaceDN/>
        <w:bidi w:val="0"/>
        <w:adjustRightInd/>
        <w:snapToGrid/>
        <w:spacing w:before="40"/>
        <w:textAlignment w:val="auto"/>
      </w:pPr>
      <w:r>
        <w:t>（一）项目概要</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电工项目是指通过使用工具、量具和仪器、仪表，完成机械设备电气部分和电气系统线路设计与装调、控制程序编制、故障诊断与排除的竞赛项目。比赛中对选手的技能要求主要包括：机电设备继电控制线路的设计、安装</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接线及调试；PLC电气控制系统的线路连接，编程与调试；机电设备电路故障检测与排除等。在评价方式上借鉴世界技能大赛评判体系，综合考核选手基本功及各项技能，为国家选定、评价人才，为学生的学习方向做出引导。</w:t>
      </w:r>
    </w:p>
    <w:p>
      <w:pPr>
        <w:pStyle w:val="3"/>
        <w:bidi w:val="0"/>
      </w:pPr>
      <w:r>
        <w:t>（二）基本知识与能力要求</w:t>
      </w:r>
    </w:p>
    <w:p>
      <w:pPr>
        <w:bidi w:val="0"/>
      </w:pPr>
      <w:r>
        <w:t>选手应掌握的理论知识、工作能力的要求以及各项要求的权重比例如表 1 所示。</w:t>
      </w:r>
    </w:p>
    <w:p>
      <w:pPr>
        <w:pStyle w:val="3"/>
        <w:keepNext/>
        <w:keepLines/>
        <w:pageBreakBefore w:val="0"/>
        <w:widowControl w:val="0"/>
        <w:kinsoku/>
        <w:wordWrap/>
        <w:overflowPunct/>
        <w:topLinePunct w:val="0"/>
        <w:autoSpaceDE/>
        <w:autoSpaceDN/>
        <w:bidi w:val="0"/>
        <w:adjustRightInd/>
        <w:snapToGrid/>
        <w:spacing w:before="0" w:beforeLines="100" w:after="10"/>
        <w:ind w:firstLine="88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表 1 选手基本知识与能力要求</w:t>
      </w:r>
    </w:p>
    <w:tbl>
      <w:tblPr>
        <w:tblStyle w:val="19"/>
        <w:tblpPr w:leftFromText="180" w:rightFromText="180" w:vertAnchor="text" w:horzAnchor="page" w:tblpXSpec="center" w:tblpY="333"/>
        <w:tblOverlap w:val="never"/>
        <w:tblW w:w="9362"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5"/>
        <w:gridCol w:w="6679"/>
        <w:gridCol w:w="14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64" w:hRule="atLeast"/>
          <w:jc w:val="center"/>
        </w:trPr>
        <w:tc>
          <w:tcPr>
            <w:tcW w:w="7954" w:type="dxa"/>
            <w:gridSpan w:val="2"/>
            <w:shd w:val="clear" w:color="auto" w:fill="92D050"/>
            <w:vAlign w:val="top"/>
          </w:tcPr>
          <w:p>
            <w:pPr>
              <w:pStyle w:val="18"/>
              <w:spacing w:before="146" w:line="222" w:lineRule="auto"/>
              <w:ind w:left="3337"/>
              <w:rPr>
                <w:sz w:val="24"/>
                <w:szCs w:val="24"/>
              </w:rPr>
            </w:pPr>
            <w:r>
              <w:rPr>
                <w:rFonts w:hint="eastAsia" w:ascii="宋体" w:hAnsi="宋体" w:eastAsia="宋体" w:cs="宋体"/>
                <w:b/>
                <w:bCs/>
                <w:spacing w:val="-8"/>
                <w:sz w:val="21"/>
                <w:szCs w:val="21"/>
              </w:rPr>
              <w:t>相关要求</w:t>
            </w:r>
          </w:p>
        </w:tc>
        <w:tc>
          <w:tcPr>
            <w:tcW w:w="1408" w:type="dxa"/>
            <w:shd w:val="clear" w:color="auto" w:fill="92D050"/>
            <w:vAlign w:val="top"/>
          </w:tcPr>
          <w:p>
            <w:pPr>
              <w:pStyle w:val="18"/>
              <w:spacing w:before="141" w:line="223" w:lineRule="auto"/>
              <w:ind w:left="0" w:leftChars="0" w:firstLine="0" w:firstLineChars="0"/>
              <w:jc w:val="center"/>
              <w:rPr>
                <w:sz w:val="24"/>
                <w:szCs w:val="24"/>
              </w:rPr>
            </w:pPr>
            <w:r>
              <w:rPr>
                <w:rFonts w:hint="eastAsia" w:ascii="宋体" w:hAnsi="宋体" w:eastAsia="宋体" w:cs="宋体"/>
                <w:b/>
                <w:bCs/>
                <w:spacing w:val="-5"/>
                <w:sz w:val="21"/>
                <w:szCs w:val="21"/>
              </w:rPr>
              <w:t>权重比例(%)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jc w:val="center"/>
        </w:trPr>
        <w:tc>
          <w:tcPr>
            <w:tcW w:w="1275" w:type="dxa"/>
            <w:vAlign w:val="center"/>
          </w:tcPr>
          <w:p>
            <w:pPr>
              <w:pStyle w:val="18"/>
              <w:spacing w:before="88" w:line="181" w:lineRule="auto"/>
              <w:ind w:left="0" w:leftChars="0" w:firstLine="0" w:firstLineChars="0"/>
              <w:jc w:val="center"/>
              <w:rPr>
                <w:sz w:val="24"/>
                <w:szCs w:val="24"/>
              </w:rPr>
            </w:pPr>
            <w:r>
              <w:rPr>
                <w:rFonts w:hint="eastAsia" w:ascii="宋体" w:hAnsi="宋体" w:eastAsia="宋体" w:cs="宋体"/>
                <w:b/>
                <w:bCs/>
                <w:spacing w:val="-3"/>
                <w:sz w:val="21"/>
                <w:szCs w:val="21"/>
              </w:rPr>
              <w:t>1</w:t>
            </w:r>
          </w:p>
        </w:tc>
        <w:tc>
          <w:tcPr>
            <w:tcW w:w="6679" w:type="dxa"/>
            <w:vAlign w:val="top"/>
          </w:tcPr>
          <w:p>
            <w:pPr>
              <w:pStyle w:val="18"/>
              <w:spacing w:before="42" w:line="221" w:lineRule="auto"/>
              <w:ind w:left="0" w:leftChars="0" w:firstLine="199" w:firstLineChars="100"/>
              <w:jc w:val="left"/>
              <w:rPr>
                <w:sz w:val="24"/>
                <w:szCs w:val="24"/>
              </w:rPr>
            </w:pPr>
            <w:r>
              <w:rPr>
                <w:rFonts w:hint="eastAsia" w:ascii="宋体" w:hAnsi="宋体" w:eastAsia="宋体" w:cs="宋体"/>
                <w:b/>
                <w:bCs/>
                <w:spacing w:val="-6"/>
                <w:sz w:val="21"/>
                <w:szCs w:val="21"/>
              </w:rPr>
              <w:t>工作组织和管理</w:t>
            </w:r>
          </w:p>
        </w:tc>
        <w:tc>
          <w:tcPr>
            <w:tcW w:w="1408" w:type="dxa"/>
            <w:vMerge w:val="restart"/>
            <w:vAlign w:val="center"/>
          </w:tcPr>
          <w:p>
            <w:pPr>
              <w:pStyle w:val="18"/>
              <w:spacing w:before="91" w:line="223" w:lineRule="auto"/>
              <w:ind w:left="0" w:leftChars="0" w:firstLine="0" w:firstLineChars="0"/>
              <w:jc w:val="center"/>
              <w:rPr>
                <w:rFonts w:hint="default" w:ascii="Arial" w:eastAsia="宋体"/>
                <w:sz w:val="24"/>
                <w:szCs w:val="24"/>
                <w:lang w:val="en-US" w:eastAsia="zh-CN"/>
              </w:rPr>
            </w:pPr>
            <w:r>
              <w:rPr>
                <w:rFonts w:hint="eastAsia" w:ascii="宋体" w:hAnsi="宋体" w:eastAsia="宋体" w:cs="宋体"/>
                <w:b/>
                <w:bCs/>
                <w:spacing w:val="-7"/>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015" w:hRule="atLeast"/>
          <w:jc w:val="center"/>
        </w:trPr>
        <w:tc>
          <w:tcPr>
            <w:tcW w:w="1275" w:type="dxa"/>
            <w:vAlign w:val="center"/>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基本知识</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—安全操作原则和方法。</w:t>
            </w:r>
          </w:p>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—所有设备的用途、使用、保养、维修以及它们的安全</w:t>
            </w:r>
            <w:r>
              <w:rPr>
                <w:rFonts w:hint="eastAsia" w:ascii="宋体" w:hAnsi="宋体" w:eastAsia="宋体" w:cs="宋体"/>
                <w:b w:val="0"/>
                <w:bCs w:val="0"/>
                <w:spacing w:val="-6"/>
                <w:sz w:val="21"/>
                <w:szCs w:val="21"/>
                <w:lang w:val="en-US" w:eastAsia="zh-CN"/>
              </w:rPr>
              <w:t>风险</w:t>
            </w:r>
            <w:r>
              <w:rPr>
                <w:rFonts w:hint="eastAsia" w:ascii="宋体" w:hAnsi="宋体" w:eastAsia="宋体" w:cs="宋体"/>
                <w:b w:val="0"/>
                <w:bCs w:val="0"/>
                <w:spacing w:val="-6"/>
                <w:sz w:val="21"/>
                <w:szCs w:val="21"/>
              </w:rPr>
              <w:t>。</w:t>
            </w:r>
          </w:p>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—工作区域内良好的环境和安全原则及应用。 </w:t>
            </w:r>
          </w:p>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—有效沟通原则、有效合作原则。</w:t>
            </w:r>
          </w:p>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—个人和集体的角色职责以及职责的范围和限制。</w:t>
            </w:r>
          </w:p>
          <w:p>
            <w:pPr>
              <w:pStyle w:val="18"/>
              <w:keepNext w:val="0"/>
              <w:keepLines w:val="0"/>
              <w:pageBreakBefore w:val="0"/>
              <w:widowControl w:val="0"/>
              <w:kinsoku/>
              <w:wordWrap/>
              <w:overflowPunct/>
              <w:topLinePunct w:val="0"/>
              <w:autoSpaceDE/>
              <w:autoSpaceDN/>
              <w:bidi w:val="0"/>
              <w:adjustRightInd/>
              <w:snapToGrid/>
              <w:spacing w:before="42" w:line="46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—时间管理的原则和技巧。</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6" w:hRule="atLeast"/>
          <w:jc w:val="center"/>
        </w:trPr>
        <w:tc>
          <w:tcPr>
            <w:tcW w:w="1275" w:type="dxa"/>
            <w:vAlign w:val="center"/>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工作能力</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—准备和保持工作区域安全，整洁和高效。</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—为手头的工作做好准备，包含充分考虑健康，安全和环境。</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—规划工作达到效率最大化和干扰最小化。</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—按照制造商的指导选择和安全使用所有设备和材料。</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—对环境</w:t>
            </w:r>
            <w:r>
              <w:rPr>
                <w:rFonts w:hint="eastAsia" w:ascii="宋体" w:hAnsi="宋体" w:eastAsia="宋体" w:cs="宋体"/>
                <w:b w:val="0"/>
                <w:bCs w:val="0"/>
                <w:spacing w:val="-6"/>
                <w:sz w:val="21"/>
                <w:szCs w:val="21"/>
                <w:lang w:eastAsia="zh-CN"/>
              </w:rPr>
              <w:t>、</w:t>
            </w:r>
            <w:r>
              <w:rPr>
                <w:rFonts w:hint="eastAsia" w:ascii="宋体" w:hAnsi="宋体" w:eastAsia="宋体" w:cs="宋体"/>
                <w:b w:val="0"/>
                <w:bCs w:val="0"/>
                <w:spacing w:val="-6"/>
                <w:sz w:val="21"/>
                <w:szCs w:val="21"/>
              </w:rPr>
              <w:t>设备和材料的使用应达到或者超过健康和安全标准。</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—恢复工作区域到合适的状态和条件。 </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—广泛和具体地为团队绩效做出贡献。 </w:t>
            </w:r>
          </w:p>
          <w:p>
            <w:pPr>
              <w:pStyle w:val="18"/>
              <w:keepNext w:val="0"/>
              <w:keepLines w:val="0"/>
              <w:pageBreakBefore w:val="0"/>
              <w:widowControl w:val="0"/>
              <w:kinsoku/>
              <w:wordWrap/>
              <w:overflowPunct/>
              <w:topLinePunct w:val="0"/>
              <w:autoSpaceDE/>
              <w:autoSpaceDN/>
              <w:bidi w:val="0"/>
              <w:adjustRightInd/>
              <w:snapToGrid/>
              <w:spacing w:line="46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—给予和接受反馈和支持。</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9" w:hRule="atLeast"/>
          <w:jc w:val="center"/>
        </w:trPr>
        <w:tc>
          <w:tcPr>
            <w:tcW w:w="1275" w:type="dxa"/>
            <w:vAlign w:val="center"/>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2</w:t>
            </w:r>
          </w:p>
        </w:tc>
        <w:tc>
          <w:tcPr>
            <w:tcW w:w="6679" w:type="dxa"/>
            <w:vAlign w:val="top"/>
          </w:tcPr>
          <w:p>
            <w:pPr>
              <w:pStyle w:val="18"/>
              <w:spacing w:before="91" w:line="223" w:lineRule="auto"/>
              <w:ind w:left="0" w:leftChars="0" w:firstLine="197" w:firstLineChars="100"/>
              <w:jc w:val="both"/>
              <w:rPr>
                <w:sz w:val="24"/>
                <w:szCs w:val="24"/>
              </w:rPr>
            </w:pPr>
            <w:r>
              <w:rPr>
                <w:rFonts w:hint="eastAsia" w:ascii="宋体" w:hAnsi="宋体" w:eastAsia="宋体" w:cs="宋体"/>
                <w:b/>
                <w:bCs/>
                <w:spacing w:val="-7"/>
                <w:sz w:val="21"/>
                <w:szCs w:val="21"/>
              </w:rPr>
              <w:t>沟通和人际交往</w:t>
            </w:r>
          </w:p>
        </w:tc>
        <w:tc>
          <w:tcPr>
            <w:tcW w:w="1408" w:type="dxa"/>
            <w:vMerge w:val="restart"/>
            <w:tcBorders>
              <w:bottom w:val="nil"/>
            </w:tcBorders>
            <w:vAlign w:val="center"/>
          </w:tcPr>
          <w:p>
            <w:pPr>
              <w:pStyle w:val="18"/>
              <w:spacing w:before="91" w:line="223" w:lineRule="auto"/>
              <w:ind w:left="0" w:leftChars="0" w:firstLine="0" w:firstLineChars="0"/>
              <w:jc w:val="center"/>
              <w:rPr>
                <w:rFonts w:hint="default" w:ascii="Arial" w:eastAsia="宋体"/>
                <w:sz w:val="24"/>
                <w:szCs w:val="24"/>
                <w:lang w:val="en-US" w:eastAsia="zh-CN"/>
              </w:rPr>
            </w:pPr>
            <w:r>
              <w:rPr>
                <w:rFonts w:hint="eastAsia" w:ascii="宋体" w:hAnsi="宋体" w:eastAsia="宋体" w:cs="宋体"/>
                <w:b/>
                <w:bCs/>
                <w:spacing w:val="-7"/>
                <w:sz w:val="21"/>
                <w:szCs w:val="21"/>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97" w:hRule="atLeast"/>
          <w:jc w:val="center"/>
        </w:trPr>
        <w:tc>
          <w:tcPr>
            <w:tcW w:w="1275" w:type="dxa"/>
            <w:vAlign w:val="center"/>
          </w:tcPr>
          <w:p>
            <w:pPr>
              <w:pStyle w:val="18"/>
              <w:spacing w:before="91" w:line="223" w:lineRule="auto"/>
              <w:ind w:left="0" w:leftChars="0" w:firstLine="0" w:firstLineChars="0"/>
              <w:jc w:val="center"/>
              <w:rPr>
                <w:rFonts w:hint="eastAsia" w:ascii="宋体" w:hAnsi="宋体" w:eastAsia="宋体" w:cs="宋体"/>
                <w:b/>
                <w:bCs/>
                <w:spacing w:val="-7"/>
                <w:sz w:val="21"/>
                <w:szCs w:val="21"/>
              </w:rPr>
            </w:pPr>
            <w:r>
              <w:rPr>
                <w:rFonts w:hint="eastAsia" w:ascii="宋体" w:hAnsi="宋体" w:eastAsia="宋体" w:cs="宋体"/>
                <w:b/>
                <w:bCs/>
                <w:spacing w:val="-7"/>
                <w:sz w:val="21"/>
                <w:szCs w:val="21"/>
              </w:rPr>
              <w:t>基本知识</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—企业和行业内的组织文化和行业惯例。</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—以纸张及电子形式提交所需文件的目的及范围。</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—与职业和部门有关的技术用语。</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—口头、书面和电子形式的常规报告和特殊报告所需的标准。</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—良好地与客户、团队成员及他人沟通的习惯。 </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7"/>
                <w:sz w:val="21"/>
                <w:szCs w:val="21"/>
              </w:rPr>
            </w:pPr>
            <w:r>
              <w:rPr>
                <w:rFonts w:hint="eastAsia" w:ascii="宋体" w:hAnsi="宋体" w:eastAsia="宋体" w:cs="宋体"/>
                <w:b w:val="0"/>
                <w:bCs w:val="0"/>
                <w:spacing w:val="-6"/>
                <w:sz w:val="21"/>
                <w:szCs w:val="21"/>
              </w:rPr>
              <w:t>—生成、维护为自己和他人提供使用记录的目的和技术。</w:t>
            </w:r>
          </w:p>
        </w:tc>
        <w:tc>
          <w:tcPr>
            <w:tcW w:w="1408" w:type="dxa"/>
            <w:vMerge w:val="continue"/>
            <w:tcBorders>
              <w:top w:val="nil"/>
              <w:bottom w:val="nil"/>
            </w:tcBorders>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55" w:hRule="atLeast"/>
          <w:jc w:val="center"/>
        </w:trPr>
        <w:tc>
          <w:tcPr>
            <w:tcW w:w="1275" w:type="dxa"/>
            <w:vAlign w:val="center"/>
          </w:tcPr>
          <w:p>
            <w:pPr>
              <w:pStyle w:val="18"/>
              <w:spacing w:before="91" w:line="223" w:lineRule="auto"/>
              <w:ind w:left="0" w:leftChars="0" w:firstLine="0" w:firstLineChars="0"/>
              <w:jc w:val="center"/>
              <w:rPr>
                <w:rFonts w:hint="eastAsia" w:ascii="宋体" w:hAnsi="宋体" w:eastAsia="宋体" w:cs="宋体"/>
                <w:b/>
                <w:bCs/>
                <w:spacing w:val="-7"/>
                <w:sz w:val="21"/>
                <w:szCs w:val="21"/>
              </w:rPr>
            </w:pPr>
            <w:r>
              <w:rPr>
                <w:rFonts w:hint="eastAsia" w:ascii="宋体" w:hAnsi="宋体" w:eastAsia="宋体" w:cs="宋体"/>
                <w:b/>
                <w:bCs/>
                <w:spacing w:val="-7"/>
                <w:sz w:val="21"/>
                <w:szCs w:val="21"/>
              </w:rPr>
              <w:t>工作能力</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—与各种</w:t>
            </w:r>
            <w:r>
              <w:rPr>
                <w:rFonts w:hint="eastAsia" w:ascii="宋体" w:hAnsi="宋体" w:eastAsia="宋体" w:cs="宋体"/>
                <w:b w:val="0"/>
                <w:bCs w:val="0"/>
                <w:spacing w:val="-6"/>
                <w:sz w:val="21"/>
                <w:szCs w:val="21"/>
                <w:lang w:val="en-US" w:eastAsia="zh-CN"/>
              </w:rPr>
              <w:t>行业内相关主体</w:t>
            </w:r>
            <w:r>
              <w:rPr>
                <w:rFonts w:hint="eastAsia" w:ascii="宋体" w:hAnsi="宋体" w:eastAsia="宋体" w:cs="宋体"/>
                <w:b w:val="0"/>
                <w:bCs w:val="0"/>
                <w:spacing w:val="-6"/>
                <w:sz w:val="21"/>
                <w:szCs w:val="21"/>
              </w:rPr>
              <w:t xml:space="preserve">互动，随时学习专业规范。 </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—通过口头、书面和电子方式进行沟通，以确保清晰、有效和高效。</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—使用标准沟通技巧。</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—与他人讨论复杂的技术原理和应用。 </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—积极地倾听和提问技巧。</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—从任何可用形式的文档中读取、理解和提取技术数据及说明。</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—完成报告并对出现的问题作出回应。</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7"/>
                <w:sz w:val="21"/>
                <w:szCs w:val="21"/>
              </w:rPr>
            </w:pPr>
            <w:r>
              <w:rPr>
                <w:rFonts w:hint="eastAsia" w:ascii="宋体" w:hAnsi="宋体" w:eastAsia="宋体" w:cs="宋体"/>
                <w:b w:val="0"/>
                <w:bCs w:val="0"/>
                <w:spacing w:val="-6"/>
                <w:sz w:val="21"/>
                <w:szCs w:val="21"/>
              </w:rPr>
              <w:t>—面对面和间接地回应客户和员工的需求。</w:t>
            </w:r>
          </w:p>
        </w:tc>
        <w:tc>
          <w:tcPr>
            <w:tcW w:w="1408" w:type="dxa"/>
            <w:vMerge w:val="continue"/>
            <w:tcBorders>
              <w:top w:val="nil"/>
            </w:tcBorders>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7" w:hRule="atLeast"/>
          <w:jc w:val="center"/>
        </w:trPr>
        <w:tc>
          <w:tcPr>
            <w:tcW w:w="1275" w:type="dxa"/>
            <w:vAlign w:val="center"/>
          </w:tcPr>
          <w:p>
            <w:pPr>
              <w:pStyle w:val="18"/>
              <w:spacing w:before="91" w:line="223" w:lineRule="auto"/>
              <w:ind w:left="0" w:leftChars="0" w:firstLine="0" w:firstLineChars="0"/>
              <w:jc w:val="center"/>
              <w:rPr>
                <w:rFonts w:hint="eastAsia" w:ascii="宋体" w:hAnsi="宋体" w:eastAsia="宋体" w:cs="宋体"/>
                <w:b/>
                <w:bCs/>
                <w:spacing w:val="-7"/>
                <w:sz w:val="21"/>
                <w:szCs w:val="21"/>
              </w:rPr>
            </w:pPr>
            <w:r>
              <w:rPr>
                <w:rFonts w:hint="eastAsia" w:ascii="宋体" w:hAnsi="宋体" w:eastAsia="宋体" w:cs="宋体"/>
                <w:b/>
                <w:bCs/>
                <w:spacing w:val="-7"/>
                <w:sz w:val="21"/>
                <w:szCs w:val="21"/>
              </w:rPr>
              <w:t>3</w:t>
            </w:r>
          </w:p>
        </w:tc>
        <w:tc>
          <w:tcPr>
            <w:tcW w:w="6679" w:type="dxa"/>
            <w:vAlign w:val="top"/>
          </w:tcPr>
          <w:p>
            <w:pPr>
              <w:pStyle w:val="18"/>
              <w:spacing w:before="91" w:line="223" w:lineRule="auto"/>
              <w:ind w:left="0" w:leftChars="0" w:firstLine="197" w:firstLineChars="100"/>
              <w:jc w:val="both"/>
              <w:rPr>
                <w:rFonts w:hint="eastAsia" w:ascii="宋体" w:hAnsi="宋体" w:eastAsia="宋体" w:cs="宋体"/>
                <w:b/>
                <w:bCs/>
                <w:spacing w:val="-7"/>
                <w:sz w:val="21"/>
                <w:szCs w:val="21"/>
              </w:rPr>
            </w:pPr>
            <w:r>
              <w:rPr>
                <w:rFonts w:hint="eastAsia" w:ascii="宋体" w:hAnsi="宋体" w:eastAsia="宋体" w:cs="宋体"/>
                <w:b/>
                <w:bCs/>
                <w:spacing w:val="-7"/>
                <w:sz w:val="21"/>
                <w:szCs w:val="21"/>
              </w:rPr>
              <w:t>继电控制线路设计与安装、调试</w:t>
            </w:r>
          </w:p>
        </w:tc>
        <w:tc>
          <w:tcPr>
            <w:tcW w:w="1408" w:type="dxa"/>
            <w:vMerge w:val="restart"/>
            <w:vAlign w:val="center"/>
          </w:tcPr>
          <w:p>
            <w:pPr>
              <w:pStyle w:val="18"/>
              <w:spacing w:before="91" w:line="223" w:lineRule="auto"/>
              <w:ind w:left="0" w:leftChars="0" w:firstLine="0" w:firstLineChars="0"/>
              <w:jc w:val="center"/>
              <w:rPr>
                <w:rFonts w:hint="default" w:eastAsia="仿宋"/>
                <w:sz w:val="24"/>
                <w:szCs w:val="24"/>
                <w:lang w:val="en-US" w:eastAsia="zh-CN"/>
              </w:rPr>
            </w:pPr>
            <w:r>
              <w:rPr>
                <w:rFonts w:hint="eastAsia" w:ascii="宋体" w:hAnsi="宋体" w:eastAsia="宋体" w:cs="宋体"/>
                <w:b/>
                <w:bCs/>
                <w:spacing w:val="-7"/>
                <w:sz w:val="21"/>
                <w:szCs w:val="21"/>
                <w:lang w:val="en-US" w:eastAsia="zh-CN"/>
              </w:rPr>
              <w:t>49.5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1" w:hRule="atLeast"/>
          <w:jc w:val="center"/>
        </w:trPr>
        <w:tc>
          <w:tcPr>
            <w:tcW w:w="1275" w:type="dxa"/>
            <w:vAlign w:val="center"/>
          </w:tcPr>
          <w:p>
            <w:pPr>
              <w:pStyle w:val="18"/>
              <w:spacing w:before="91" w:line="223" w:lineRule="auto"/>
              <w:ind w:left="0" w:leftChars="0" w:firstLine="0" w:firstLineChars="0"/>
              <w:jc w:val="center"/>
              <w:rPr>
                <w:rFonts w:hint="eastAsia" w:ascii="宋体" w:hAnsi="宋体" w:eastAsia="宋体" w:cs="宋体"/>
                <w:b/>
                <w:bCs/>
                <w:spacing w:val="-7"/>
                <w:sz w:val="21"/>
                <w:szCs w:val="21"/>
              </w:rPr>
            </w:pPr>
            <w:r>
              <w:rPr>
                <w:rFonts w:hint="eastAsia" w:ascii="宋体" w:hAnsi="宋体" w:eastAsia="宋体" w:cs="宋体"/>
                <w:b/>
                <w:bCs/>
                <w:spacing w:val="-7"/>
                <w:sz w:val="21"/>
                <w:szCs w:val="21"/>
              </w:rPr>
              <w:t>基本知识</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—电气图形符号及制图规范。 </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—电气布线的技术要求。</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—电气设备现场安装与施工的基本知识。</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—安全接收和持续管理设备、工具和材料的原则和方法。</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lang w:eastAsia="zh-CN"/>
              </w:rPr>
            </w:pPr>
            <w:r>
              <w:rPr>
                <w:rFonts w:hint="eastAsia" w:ascii="宋体" w:hAnsi="宋体" w:eastAsia="宋体" w:cs="宋体"/>
                <w:b w:val="0"/>
                <w:bCs w:val="0"/>
                <w:spacing w:val="-6"/>
                <w:sz w:val="21"/>
                <w:szCs w:val="21"/>
              </w:rPr>
              <w:t>—装配并使用机电设备电路的原理与方法</w:t>
            </w:r>
            <w:r>
              <w:rPr>
                <w:rFonts w:hint="eastAsia" w:ascii="宋体" w:hAnsi="宋体" w:eastAsia="宋体" w:cs="宋体"/>
                <w:b w:val="0"/>
                <w:bCs w:val="0"/>
                <w:spacing w:val="-6"/>
                <w:sz w:val="21"/>
                <w:szCs w:val="21"/>
                <w:lang w:eastAsia="zh-CN"/>
              </w:rPr>
              <w:t>。</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—装配电气元件及固定工具和设备的原理和方法。</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—在生产系统中物理安装电器元件的基本原则。 </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—元件布局方法和规范要求。</w:t>
            </w:r>
          </w:p>
          <w:p>
            <w:pPr>
              <w:pStyle w:val="18"/>
              <w:keepNext w:val="0"/>
              <w:keepLines w:val="0"/>
              <w:pageBreakBefore w:val="0"/>
              <w:widowControl w:val="0"/>
              <w:kinsoku/>
              <w:wordWrap/>
              <w:overflowPunct/>
              <w:topLinePunct w:val="0"/>
              <w:autoSpaceDE/>
              <w:autoSpaceDN/>
              <w:bidi w:val="0"/>
              <w:adjustRightInd/>
              <w:snapToGrid/>
              <w:spacing w:before="42" w:line="41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w:t>
            </w:r>
            <w:r>
              <w:rPr>
                <w:rFonts w:hint="eastAsia" w:ascii="宋体" w:hAnsi="宋体" w:eastAsia="宋体" w:cs="宋体"/>
                <w:b w:val="0"/>
                <w:bCs w:val="0"/>
                <w:spacing w:val="-6"/>
                <w:sz w:val="21"/>
                <w:szCs w:val="21"/>
                <w:lang w:val="en-US" w:eastAsia="zh-CN"/>
              </w:rPr>
              <w:t>电力</w:t>
            </w:r>
            <w:r>
              <w:rPr>
                <w:rFonts w:hint="eastAsia" w:ascii="宋体" w:hAnsi="宋体" w:eastAsia="宋体" w:cs="宋体"/>
                <w:b w:val="0"/>
                <w:bCs w:val="0"/>
                <w:spacing w:val="-6"/>
                <w:sz w:val="21"/>
                <w:szCs w:val="21"/>
              </w:rPr>
              <w:t>定位、连接和使用的基本原则。</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jc w:val="center"/>
        </w:trPr>
        <w:tc>
          <w:tcPr>
            <w:tcW w:w="1275" w:type="dxa"/>
            <w:vAlign w:val="center"/>
          </w:tcPr>
          <w:p>
            <w:pPr>
              <w:pStyle w:val="18"/>
              <w:spacing w:before="91" w:line="223" w:lineRule="auto"/>
              <w:ind w:left="0" w:leftChars="0" w:firstLine="0" w:firstLineChars="0"/>
              <w:jc w:val="center"/>
              <w:rPr>
                <w:rFonts w:hint="eastAsia" w:ascii="宋体" w:hAnsi="宋体" w:eastAsia="宋体" w:cs="宋体"/>
                <w:b/>
                <w:bCs/>
                <w:spacing w:val="-7"/>
                <w:sz w:val="21"/>
                <w:szCs w:val="21"/>
              </w:rPr>
            </w:pPr>
            <w:r>
              <w:rPr>
                <w:rFonts w:hint="eastAsia" w:ascii="宋体" w:hAnsi="宋体" w:eastAsia="宋体" w:cs="宋体"/>
                <w:b/>
                <w:bCs/>
                <w:spacing w:val="-7"/>
                <w:sz w:val="21"/>
                <w:szCs w:val="21"/>
              </w:rPr>
              <w:t>工作能力</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—根据任务要求选择合适的电气元件。 </w:t>
            </w:r>
          </w:p>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w:t>
            </w:r>
            <w:r>
              <w:rPr>
                <w:rFonts w:hint="eastAsia" w:ascii="宋体" w:hAnsi="宋体" w:eastAsia="宋体" w:cs="宋体"/>
                <w:b w:val="0"/>
                <w:bCs w:val="0"/>
                <w:spacing w:val="-6"/>
                <w:sz w:val="21"/>
                <w:szCs w:val="21"/>
                <w:lang w:val="en-US" w:eastAsia="zh-CN"/>
              </w:rPr>
              <w:t>设计</w:t>
            </w:r>
            <w:r>
              <w:rPr>
                <w:rFonts w:hint="eastAsia" w:ascii="宋体" w:hAnsi="宋体" w:eastAsia="宋体" w:cs="宋体"/>
                <w:b w:val="0"/>
                <w:bCs w:val="0"/>
                <w:spacing w:val="-6"/>
                <w:sz w:val="21"/>
                <w:szCs w:val="21"/>
              </w:rPr>
              <w:t>绘制电气图。</w:t>
            </w:r>
          </w:p>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—结合电气的尺寸进行布局与设计。</w:t>
            </w:r>
          </w:p>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—按图正确接线，工艺美观符合标准。</w:t>
            </w:r>
          </w:p>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—根据规格使用手动工具、夹具或量具对齐、安装或组装组件。</w:t>
            </w:r>
          </w:p>
          <w:p>
            <w:pPr>
              <w:pStyle w:val="18"/>
              <w:keepNext w:val="0"/>
              <w:keepLines w:val="0"/>
              <w:pageBreakBefore w:val="0"/>
              <w:widowControl w:val="0"/>
              <w:kinsoku/>
              <w:wordWrap/>
              <w:overflowPunct/>
              <w:topLinePunct w:val="0"/>
              <w:autoSpaceDE/>
              <w:autoSpaceDN/>
              <w:bidi w:val="0"/>
              <w:adjustRightInd/>
              <w:snapToGrid/>
              <w:spacing w:before="42" w:line="42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—能使用仪器仪表对电气控制线路进行测试。</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jc w:val="center"/>
        </w:trPr>
        <w:tc>
          <w:tcPr>
            <w:tcW w:w="1275" w:type="dxa"/>
            <w:vAlign w:val="center"/>
          </w:tcPr>
          <w:p>
            <w:pPr>
              <w:pStyle w:val="18"/>
              <w:spacing w:before="91" w:line="223" w:lineRule="auto"/>
              <w:ind w:left="0" w:leftChars="0" w:firstLine="0" w:firstLineChars="0"/>
              <w:jc w:val="center"/>
              <w:rPr>
                <w:rFonts w:hint="eastAsia" w:eastAsia="仿宋"/>
                <w:sz w:val="24"/>
                <w:szCs w:val="24"/>
                <w:lang w:val="en-US" w:eastAsia="zh-CN"/>
              </w:rPr>
            </w:pPr>
            <w:r>
              <w:rPr>
                <w:rFonts w:hint="eastAsia" w:ascii="宋体" w:hAnsi="宋体" w:eastAsia="宋体" w:cs="宋体"/>
                <w:b/>
                <w:bCs/>
                <w:spacing w:val="-7"/>
                <w:sz w:val="21"/>
                <w:szCs w:val="21"/>
                <w:lang w:val="en-US" w:eastAsia="zh-CN"/>
              </w:rPr>
              <w:t>4</w:t>
            </w:r>
          </w:p>
        </w:tc>
        <w:tc>
          <w:tcPr>
            <w:tcW w:w="6679" w:type="dxa"/>
            <w:vAlign w:val="top"/>
          </w:tcPr>
          <w:p>
            <w:pPr>
              <w:pStyle w:val="18"/>
              <w:spacing w:before="91" w:line="223" w:lineRule="auto"/>
              <w:ind w:left="0" w:leftChars="0" w:firstLine="197" w:firstLineChars="100"/>
              <w:jc w:val="both"/>
              <w:rPr>
                <w:sz w:val="24"/>
                <w:szCs w:val="24"/>
              </w:rPr>
            </w:pPr>
            <w:r>
              <w:rPr>
                <w:rFonts w:hint="eastAsia" w:ascii="宋体" w:hAnsi="宋体" w:eastAsia="宋体" w:cs="宋体"/>
                <w:b/>
                <w:bCs/>
                <w:spacing w:val="-7"/>
                <w:sz w:val="21"/>
                <w:szCs w:val="21"/>
              </w:rPr>
              <w:t>PLC 电气控制系统编程与调试</w:t>
            </w:r>
          </w:p>
        </w:tc>
        <w:tc>
          <w:tcPr>
            <w:tcW w:w="1408" w:type="dxa"/>
            <w:vMerge w:val="restart"/>
            <w:vAlign w:val="center"/>
          </w:tcPr>
          <w:p>
            <w:pPr>
              <w:pStyle w:val="18"/>
              <w:spacing w:before="91" w:line="223" w:lineRule="auto"/>
              <w:ind w:left="0" w:leftChars="0" w:firstLine="0" w:firstLineChars="0"/>
              <w:jc w:val="center"/>
              <w:rPr>
                <w:rFonts w:hint="default" w:eastAsia="仿宋"/>
                <w:sz w:val="24"/>
                <w:szCs w:val="24"/>
                <w:lang w:val="en-US" w:eastAsia="zh-CN"/>
              </w:rPr>
            </w:pPr>
            <w:r>
              <w:rPr>
                <w:rFonts w:hint="eastAsia" w:ascii="宋体" w:hAnsi="宋体" w:eastAsia="宋体" w:cs="宋体"/>
                <w:b/>
                <w:bCs/>
                <w:spacing w:val="-7"/>
                <w:sz w:val="21"/>
                <w:szCs w:val="21"/>
                <w:lang w:val="en-US" w:eastAsia="zh-CN"/>
              </w:rPr>
              <w:t>40.5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6" w:hRule="atLeast"/>
          <w:jc w:val="center"/>
        </w:trPr>
        <w:tc>
          <w:tcPr>
            <w:tcW w:w="1275" w:type="dxa"/>
            <w:vAlign w:val="center"/>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基本知识</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—电气工程与气动的原理及相关应用。</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—将信息或数据进行分解的原则和方法。</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—从所有相关来源获取信息和数据的方法。</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—处理信息和数据的原则和方法。 </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—自动控制基本知识。</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—可编程序控制器的结构及工作原理。</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—PLC指令的含义和使用方法。 </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—所需的相关软件使用方法。</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—PLC控制系统设计的基本原则与要求。</w:t>
            </w:r>
          </w:p>
          <w:p>
            <w:pPr>
              <w:pStyle w:val="18"/>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—PLC控制系统的现场调试方法。</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54" w:hRule="atLeast"/>
          <w:jc w:val="center"/>
        </w:trPr>
        <w:tc>
          <w:tcPr>
            <w:tcW w:w="1275" w:type="dxa"/>
            <w:vAlign w:val="center"/>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工作能力</w:t>
            </w:r>
          </w:p>
        </w:tc>
        <w:tc>
          <w:tcPr>
            <w:tcW w:w="66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—PLC电气控制系统原理图设计与绘制。 </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—将PLC与工控模块进行连接。</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—搭建工业控制器与HMI设备之间的工业通信网络/总线。</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—根据要求配置PLC，并配置相关控制电路使之能正确运行。</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—连接设备和外围设备之间的输入/输出(I/O)控制信号和以太网/（Profinet）系统。</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—使用计算机能力。</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—符号逻辑理解与应用能力。</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—操作PLC编程软件，用于对设备的编程。</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—利用PLC控制变频器输入/输出（I/O）及运行功能。</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—优化触摸屏用户界面。 </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—传感器集成应用。</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—开发系统操作图表或流程图。</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—使用流程图和图表编写、分析、审查和优化程序。</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—能掌握变频器、伺服驱动装置及位置检测装置的功能连接和调试技能。</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—能判断、排除可编程控制器功能模块故障。</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—进行程序和软件应用程序的试运行，以确保它们能够完成要求的功能。</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—编写、更新和维护计算机程序或软件包来处理特定的工作。</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—优化设备的运动性能和I/O处理，以最小化循环时间/最大化工作效率，同时保持可靠的运行。</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—通过进行适当的更改和重新检查程序来纠正错误，以确保其功能的正确性。</w:t>
            </w:r>
          </w:p>
        </w:tc>
        <w:tc>
          <w:tcPr>
            <w:tcW w:w="1408" w:type="dxa"/>
            <w:vMerge w:val="continue"/>
            <w:vAlign w:val="top"/>
          </w:tcPr>
          <w:p>
            <w:pPr>
              <w:rPr>
                <w:rFonts w:ascii="Arial"/>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1" w:hRule="atLeast"/>
          <w:jc w:val="center"/>
        </w:trPr>
        <w:tc>
          <w:tcPr>
            <w:tcW w:w="7954" w:type="dxa"/>
            <w:gridSpan w:val="2"/>
            <w:vAlign w:val="top"/>
          </w:tcPr>
          <w:p>
            <w:pPr>
              <w:pStyle w:val="18"/>
              <w:spacing w:before="91" w:line="223" w:lineRule="auto"/>
              <w:ind w:left="0" w:leftChars="0" w:firstLine="0" w:firstLineChars="0"/>
              <w:jc w:val="center"/>
              <w:rPr>
                <w:sz w:val="24"/>
                <w:szCs w:val="24"/>
              </w:rPr>
            </w:pPr>
            <w:r>
              <w:rPr>
                <w:rFonts w:hint="eastAsia" w:ascii="宋体" w:hAnsi="宋体" w:eastAsia="宋体" w:cs="宋体"/>
                <w:b/>
                <w:bCs/>
                <w:spacing w:val="-7"/>
                <w:sz w:val="21"/>
                <w:szCs w:val="21"/>
              </w:rPr>
              <w:t>合计</w:t>
            </w:r>
          </w:p>
        </w:tc>
        <w:tc>
          <w:tcPr>
            <w:tcW w:w="1408" w:type="dxa"/>
            <w:vAlign w:val="center"/>
          </w:tcPr>
          <w:p>
            <w:pPr>
              <w:pStyle w:val="18"/>
              <w:spacing w:before="91" w:line="223" w:lineRule="auto"/>
              <w:ind w:left="0" w:leftChars="0" w:firstLine="0" w:firstLineChars="0"/>
              <w:jc w:val="center"/>
              <w:rPr>
                <w:rFonts w:ascii="Times New Roman" w:hAnsi="Times New Roman" w:eastAsia="Times New Roman" w:cs="Times New Roman"/>
                <w:sz w:val="24"/>
                <w:szCs w:val="24"/>
              </w:rPr>
            </w:pPr>
            <w:r>
              <w:rPr>
                <w:rFonts w:hint="eastAsia" w:ascii="宋体" w:hAnsi="宋体" w:eastAsia="宋体" w:cs="宋体"/>
                <w:b/>
                <w:bCs/>
                <w:spacing w:val="-7"/>
                <w:sz w:val="21"/>
                <w:szCs w:val="21"/>
              </w:rPr>
              <w:t>100</w:t>
            </w:r>
          </w:p>
        </w:tc>
      </w:tr>
    </w:tbl>
    <w:p>
      <w:pPr>
        <w:pStyle w:val="2"/>
        <w:bidi w:val="0"/>
      </w:pPr>
      <w:r>
        <w:t>二、试题与评判标准</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本赛项技术文件主要依照国家《电工》职业技能标准制定</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竞赛内容以电工国家职业资格中级工、高级工、技师、高级技师考核内容为基础，结合企业生产实际，适当增加相关新知识、新技术、新设备和新技能有关内容。</w:t>
      </w:r>
    </w:p>
    <w:p>
      <w:pPr>
        <w:pStyle w:val="3"/>
        <w:bidi w:val="0"/>
        <w:rPr>
          <w:rFonts w:hint="eastAsia"/>
          <w:lang w:val="en-US" w:eastAsia="zh-CN"/>
        </w:rPr>
      </w:pPr>
      <w:r>
        <w:t>（一）竞赛试题</w:t>
      </w:r>
      <w:r>
        <w:rPr>
          <w:rFonts w:hint="eastAsia"/>
          <w:lang w:val="en-US" w:eastAsia="zh-CN"/>
        </w:rPr>
        <w:t>内容</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4" w:firstLineChars="200"/>
        <w:textAlignment w:val="auto"/>
        <w:rPr>
          <w:rFonts w:hint="eastAsia" w:ascii="宋体" w:hAnsi="宋体" w:eastAsia="宋体" w:cs="宋体"/>
          <w:b/>
          <w:bCs/>
          <w:spacing w:val="8"/>
          <w:sz w:val="21"/>
          <w:szCs w:val="21"/>
        </w:rPr>
      </w:pPr>
      <w:r>
        <w:rPr>
          <w:rFonts w:hint="eastAsia" w:ascii="宋体" w:hAnsi="宋体" w:eastAsia="宋体" w:cs="宋体"/>
          <w:b/>
          <w:bCs/>
          <w:spacing w:val="8"/>
          <w:sz w:val="21"/>
          <w:szCs w:val="21"/>
        </w:rPr>
        <w:t>1.竞赛内容</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全市</w:t>
      </w:r>
      <w:r>
        <w:rPr>
          <w:rFonts w:hint="eastAsia" w:ascii="宋体" w:hAnsi="宋体" w:eastAsia="宋体" w:cs="宋体"/>
          <w:spacing w:val="8"/>
          <w:sz w:val="21"/>
          <w:szCs w:val="21"/>
        </w:rPr>
        <w:t>技能大赛电工项目竞赛内容主要包含继电控制线路设计与安装调试、PLC电气控制系统编程与调试两个模块。具体如下：</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 继电控制线路设计与安装、调试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参赛选手根据任务要求完成继电控制电路设计，绘制电气</w:t>
      </w:r>
      <w:r>
        <w:rPr>
          <w:rFonts w:hint="eastAsia" w:ascii="宋体" w:hAnsi="宋体" w:eastAsia="宋体" w:cs="宋体"/>
          <w:spacing w:val="8"/>
          <w:sz w:val="21"/>
          <w:szCs w:val="21"/>
          <w:lang w:val="en-US" w:eastAsia="zh-CN"/>
        </w:rPr>
        <w:t>控制</w:t>
      </w:r>
      <w:r>
        <w:rPr>
          <w:rFonts w:hint="eastAsia" w:ascii="宋体" w:hAnsi="宋体" w:eastAsia="宋体" w:cs="宋体"/>
          <w:spacing w:val="8"/>
          <w:sz w:val="21"/>
          <w:szCs w:val="21"/>
        </w:rPr>
        <w:t>原理图，选用现场提供的电气元件进行安装连接与测试运行,要求符合电气安装与接线专业技术规范。</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bookmarkStart w:id="9" w:name="bookmark18"/>
      <w:bookmarkEnd w:id="9"/>
      <w:r>
        <w:rPr>
          <w:rFonts w:hint="eastAsia" w:ascii="宋体" w:hAnsi="宋体" w:eastAsia="宋体" w:cs="宋体"/>
          <w:spacing w:val="8"/>
          <w:sz w:val="21"/>
          <w:szCs w:val="21"/>
        </w:rPr>
        <w:t>模块 B PLC电气控制系统编程与调试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default" w:ascii="宋体" w:hAnsi="宋体" w:eastAsia="宋体" w:cs="宋体"/>
          <w:spacing w:val="8"/>
          <w:sz w:val="21"/>
          <w:szCs w:val="21"/>
          <w:lang w:val="en-US"/>
        </w:rPr>
      </w:pPr>
      <w:r>
        <w:rPr>
          <w:rFonts w:hint="eastAsia" w:ascii="宋体" w:hAnsi="宋体" w:eastAsia="宋体" w:cs="宋体"/>
          <w:spacing w:val="8"/>
          <w:sz w:val="21"/>
          <w:szCs w:val="21"/>
        </w:rPr>
        <w:t>参赛选手根据任务</w:t>
      </w:r>
      <w:r>
        <w:rPr>
          <w:rFonts w:hint="eastAsia" w:ascii="宋体" w:hAnsi="宋体" w:eastAsia="宋体" w:cs="宋体"/>
          <w:spacing w:val="8"/>
          <w:sz w:val="21"/>
          <w:szCs w:val="21"/>
          <w:lang w:val="en-US" w:eastAsia="zh-CN"/>
        </w:rPr>
        <w:t>书，完成变频器等工控器件参数配置，HMI画面组态，PLC控制程序的编制、调试与运行。</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4" w:firstLineChars="200"/>
        <w:textAlignment w:val="auto"/>
        <w:rPr>
          <w:rFonts w:hint="eastAsia" w:ascii="宋体" w:hAnsi="宋体" w:eastAsia="宋体" w:cs="宋体"/>
          <w:b/>
          <w:bCs/>
          <w:spacing w:val="8"/>
          <w:sz w:val="21"/>
          <w:szCs w:val="21"/>
        </w:rPr>
      </w:pPr>
      <w:r>
        <w:rPr>
          <w:rFonts w:hint="eastAsia" w:ascii="宋体" w:hAnsi="宋体" w:cs="宋体"/>
          <w:b/>
          <w:bCs/>
          <w:spacing w:val="8"/>
          <w:sz w:val="21"/>
          <w:szCs w:val="21"/>
          <w:lang w:val="en-US" w:eastAsia="zh-CN"/>
        </w:rPr>
        <w:t>2.</w:t>
      </w:r>
      <w:r>
        <w:rPr>
          <w:rFonts w:hint="eastAsia" w:ascii="宋体" w:hAnsi="宋体" w:eastAsia="宋体" w:cs="宋体"/>
          <w:b/>
          <w:bCs/>
          <w:spacing w:val="8"/>
          <w:sz w:val="21"/>
          <w:szCs w:val="21"/>
        </w:rPr>
        <w:t>竞赛模块</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选手在规定时间内需完成以下两个任务模块的工作，具体安排如下：</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 继电控制线路设计与安装、调试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A-1 继电控制线路设计：参赛选手根据任务要求完成继电控制电路设计，绘制</w:t>
      </w:r>
      <w:r>
        <w:rPr>
          <w:rFonts w:hint="eastAsia" w:ascii="宋体" w:hAnsi="宋体" w:cs="宋体"/>
          <w:spacing w:val="8"/>
          <w:sz w:val="21"/>
          <w:szCs w:val="21"/>
          <w:lang w:val="en-US" w:eastAsia="zh-CN"/>
        </w:rPr>
        <w:t>电气控制</w:t>
      </w:r>
      <w:r>
        <w:rPr>
          <w:rFonts w:hint="eastAsia" w:ascii="宋体" w:hAnsi="宋体" w:eastAsia="宋体" w:cs="宋体"/>
          <w:spacing w:val="8"/>
          <w:sz w:val="21"/>
          <w:szCs w:val="21"/>
        </w:rPr>
        <w:t>原理图。</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A-2 安装与接线：选手根据竞赛任务书的要求和现场提供的电气元件，进行电路安装与接线。</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A-3 调试和运行：选手使用仪表对安装完成的继电控制系统进行测试，并试车。</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B PLC 电气控制系统编程与调试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 xml:space="preserve">模块 B-1 参数设置：参赛选手根据任务书，对变频器、触摸屏、传感器、执行器等参数进行设置。 </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模块 B-2 PLC 电气控制应用编程、调试与运行：参赛选手需要根据任务书，完成 HMI 画面组态、PLC 控制程序的编制、调试与运行。</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4" w:firstLineChars="200"/>
        <w:textAlignment w:val="auto"/>
        <w:rPr>
          <w:rFonts w:hint="eastAsia" w:ascii="宋体" w:hAnsi="宋体" w:eastAsia="宋体" w:cs="宋体"/>
          <w:b/>
          <w:bCs/>
          <w:spacing w:val="8"/>
          <w:sz w:val="21"/>
          <w:szCs w:val="21"/>
        </w:rPr>
      </w:pPr>
      <w:r>
        <w:rPr>
          <w:rFonts w:hint="eastAsia" w:ascii="宋体" w:hAnsi="宋体" w:eastAsia="宋体" w:cs="宋体"/>
          <w:b/>
          <w:bCs/>
          <w:spacing w:val="8"/>
          <w:sz w:val="21"/>
          <w:szCs w:val="21"/>
        </w:rPr>
        <w:t>3.命题思路</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以电工国家职业资格中级工、高级工、技师、高级技师考核内容为依据，结合世界技能大赛与电工相近竞赛项目的能力要求，设计考</w:t>
      </w:r>
      <w:r>
        <w:rPr>
          <w:rFonts w:hint="eastAsia" w:ascii="宋体" w:hAnsi="宋体" w:cs="宋体"/>
          <w:spacing w:val="8"/>
          <w:sz w:val="21"/>
          <w:szCs w:val="21"/>
          <w:lang w:val="en-US" w:eastAsia="zh-CN"/>
        </w:rPr>
        <w:t>查</w:t>
      </w:r>
      <w:r>
        <w:rPr>
          <w:rFonts w:hint="eastAsia" w:ascii="宋体" w:hAnsi="宋体" w:eastAsia="宋体" w:cs="宋体"/>
          <w:spacing w:val="8"/>
          <w:sz w:val="21"/>
          <w:szCs w:val="21"/>
        </w:rPr>
        <w:t>内容，全面考查参赛选手的职业综合素质、技术技能水平和专业能力。</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 xml:space="preserve">在技能大赛上，表 </w:t>
      </w:r>
      <w:r>
        <w:rPr>
          <w:rFonts w:hint="eastAsia" w:ascii="宋体" w:hAnsi="宋体" w:eastAsia="宋体" w:cs="宋体"/>
          <w:spacing w:val="8"/>
          <w:sz w:val="21"/>
          <w:szCs w:val="21"/>
          <w:lang w:val="en-US" w:eastAsia="zh-CN"/>
        </w:rPr>
        <w:t>1</w:t>
      </w:r>
      <w:r>
        <w:rPr>
          <w:rFonts w:hint="eastAsia" w:ascii="宋体" w:hAnsi="宋体" w:eastAsia="宋体" w:cs="宋体"/>
          <w:spacing w:val="8"/>
          <w:sz w:val="21"/>
          <w:szCs w:val="21"/>
        </w:rPr>
        <w:t xml:space="preserve"> 中有关技能的知识和理解将通过选手的技能表现予以考核。“ 第</w:t>
      </w:r>
      <w:r>
        <w:rPr>
          <w:rFonts w:hint="eastAsia" w:ascii="宋体" w:hAnsi="宋体" w:eastAsia="宋体" w:cs="宋体"/>
          <w:spacing w:val="8"/>
          <w:sz w:val="21"/>
          <w:szCs w:val="21"/>
          <w:lang w:val="en-US" w:eastAsia="zh-CN"/>
        </w:rPr>
        <w:t>七</w:t>
      </w:r>
      <w:r>
        <w:rPr>
          <w:rFonts w:hint="eastAsia" w:ascii="宋体" w:hAnsi="宋体" w:eastAsia="宋体" w:cs="宋体"/>
          <w:spacing w:val="8"/>
          <w:sz w:val="21"/>
          <w:szCs w:val="21"/>
          <w:lang w:eastAsia="zh-CN"/>
        </w:rPr>
        <w:t>届</w:t>
      </w:r>
      <w:r>
        <w:rPr>
          <w:rFonts w:hint="eastAsia" w:ascii="宋体" w:hAnsi="宋体" w:eastAsia="宋体" w:cs="宋体"/>
          <w:spacing w:val="8"/>
          <w:sz w:val="21"/>
          <w:szCs w:val="21"/>
        </w:rPr>
        <w:t>长治技能大赛 ”不单独进行理论考试，相关内容融入实际操作中。</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4" w:firstLineChars="200"/>
        <w:textAlignment w:val="auto"/>
        <w:rPr>
          <w:rFonts w:hint="eastAsia" w:ascii="宋体" w:hAnsi="宋体" w:eastAsia="宋体" w:cs="宋体"/>
          <w:b/>
          <w:bCs/>
          <w:spacing w:val="8"/>
          <w:sz w:val="21"/>
          <w:szCs w:val="21"/>
        </w:rPr>
      </w:pPr>
      <w:r>
        <w:rPr>
          <w:rFonts w:hint="eastAsia" w:ascii="宋体" w:hAnsi="宋体" w:eastAsia="宋体" w:cs="宋体"/>
          <w:b/>
          <w:bCs/>
          <w:spacing w:val="8"/>
          <w:sz w:val="21"/>
          <w:szCs w:val="21"/>
          <w:lang w:val="en-US" w:eastAsia="zh-CN"/>
        </w:rPr>
        <w:t>4.</w:t>
      </w:r>
      <w:r>
        <w:rPr>
          <w:rFonts w:hint="eastAsia" w:ascii="宋体" w:hAnsi="宋体" w:eastAsia="宋体" w:cs="宋体"/>
          <w:b/>
          <w:bCs/>
          <w:spacing w:val="8"/>
          <w:sz w:val="21"/>
          <w:szCs w:val="21"/>
        </w:rPr>
        <w:t>试题</w:t>
      </w:r>
    </w:p>
    <w:p>
      <w:pPr>
        <w:pStyle w:val="3"/>
        <w:keepNext/>
        <w:keepLines/>
        <w:pageBreakBefore w:val="0"/>
        <w:widowControl w:val="0"/>
        <w:kinsoku/>
        <w:wordWrap/>
        <w:overflowPunct/>
        <w:topLinePunct w:val="0"/>
        <w:autoSpaceDE/>
        <w:autoSpaceDN/>
        <w:bidi w:val="0"/>
        <w:adjustRightInd/>
        <w:snapToGrid/>
        <w:spacing w:before="0" w:beforeLines="100" w:after="0" w:afterLines="50"/>
        <w:ind w:firstLine="880"/>
        <w:jc w:val="center"/>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rPr>
        <w:t>本项目试题构成和考核内容如表</w:t>
      </w: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所示</w:t>
      </w:r>
    </w:p>
    <w:tbl>
      <w:tblPr>
        <w:tblStyle w:val="19"/>
        <w:tblW w:w="9074"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
        <w:gridCol w:w="1525"/>
        <w:gridCol w:w="7513"/>
        <w:gridCol w:w="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3" w:type="dxa"/>
          <w:wAfter w:w="33" w:type="dxa"/>
          <w:trHeight w:val="575" w:hRule="atLeast"/>
          <w:jc w:val="center"/>
        </w:trPr>
        <w:tc>
          <w:tcPr>
            <w:tcW w:w="9038" w:type="dxa"/>
            <w:gridSpan w:val="2"/>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pPr>
            <w:r>
              <w:rPr>
                <w:rFonts w:hint="eastAsia" w:ascii="宋体" w:hAnsi="宋体" w:eastAsia="宋体" w:cs="宋体"/>
                <w:b/>
                <w:bCs/>
                <w:spacing w:val="-6"/>
                <w:sz w:val="21"/>
                <w:szCs w:val="21"/>
              </w:rPr>
              <w:t>模块 A   继电控制线路设计与安装、调试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3" w:type="dxa"/>
          <w:wAfter w:w="33" w:type="dxa"/>
          <w:trHeight w:val="1466" w:hRule="atLeast"/>
          <w:jc w:val="center"/>
        </w:trPr>
        <w:tc>
          <w:tcPr>
            <w:tcW w:w="1525" w:type="dxa"/>
            <w:vAlign w:val="top"/>
          </w:tcPr>
          <w:p>
            <w:pPr>
              <w:pStyle w:val="18"/>
              <w:spacing w:before="46" w:line="222" w:lineRule="auto"/>
              <w:ind w:left="429"/>
              <w:rPr>
                <w:spacing w:val="-1"/>
                <w:sz w:val="24"/>
                <w:szCs w:val="24"/>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pacing w:val="-1"/>
                <w:sz w:val="24"/>
                <w:szCs w:val="24"/>
              </w:rPr>
            </w:pPr>
            <w:r>
              <w:rPr>
                <w:rFonts w:hint="eastAsia" w:ascii="宋体" w:hAnsi="宋体" w:eastAsia="宋体" w:cs="宋体"/>
                <w:b w:val="0"/>
                <w:bCs w:val="0"/>
                <w:spacing w:val="-6"/>
                <w:sz w:val="21"/>
                <w:szCs w:val="21"/>
              </w:rPr>
              <w:t>模块A-1继电控制线路的设计</w:t>
            </w:r>
          </w:p>
        </w:tc>
        <w:tc>
          <w:tcPr>
            <w:tcW w:w="751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工作内容包括：选择合适的元件类型与规格； 绘制系统原理图。</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考核内容包括：功能完整性、正确性符号规范性;</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pacing w:val="-1"/>
                <w:sz w:val="24"/>
                <w:szCs w:val="24"/>
              </w:rPr>
            </w:pPr>
            <w:r>
              <w:rPr>
                <w:rFonts w:hint="eastAsia" w:ascii="宋体" w:hAnsi="宋体" w:eastAsia="宋体" w:cs="宋体"/>
                <w:b w:val="0"/>
                <w:bCs w:val="0"/>
                <w:spacing w:val="-6"/>
                <w:sz w:val="21"/>
                <w:szCs w:val="21"/>
              </w:rPr>
              <w:t>设计的经济性;元件布局合理性。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3" w:type="dxa"/>
          <w:wAfter w:w="33" w:type="dxa"/>
          <w:trHeight w:val="443" w:hRule="atLeast"/>
          <w:jc w:val="center"/>
        </w:trPr>
        <w:tc>
          <w:tcPr>
            <w:tcW w:w="152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模块A-2安装与接线</w:t>
            </w:r>
          </w:p>
        </w:tc>
        <w:tc>
          <w:tcPr>
            <w:tcW w:w="751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工作内容包括：常用工业器件的安装；接线端子安装；导轨安装；剪线，剥线，压线鼻，套号码管；导线与电缆布线、接线。</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考核内容包括：线槽安装尺寸；元件安装位置； 线路连接工艺；压接线鼻工艺；</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套号码管规范性、完整性。</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（此处不考查接线正确性，接线正确性由功能测试项来考查。）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gridBefore w:val="1"/>
          <w:gridAfter w:val="1"/>
          <w:wBefore w:w="3" w:type="dxa"/>
          <w:wAfter w:w="33" w:type="dxa"/>
          <w:trHeight w:val="1499" w:hRule="atLeast"/>
          <w:jc w:val="center"/>
        </w:trPr>
        <w:tc>
          <w:tcPr>
            <w:tcW w:w="152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模块A-3调试和运行</w:t>
            </w:r>
          </w:p>
        </w:tc>
        <w:tc>
          <w:tcPr>
            <w:tcW w:w="751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工作内容包括：使用仪器仪表测试接线的正确性；使用仪器仪表检测线路接触的良好性； 根据功能要求试运行电路。</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pacing w:val="-1"/>
                <w:sz w:val="24"/>
                <w:szCs w:val="24"/>
              </w:rPr>
            </w:pPr>
            <w:r>
              <w:rPr>
                <w:rFonts w:hint="eastAsia" w:ascii="宋体" w:hAnsi="宋体" w:eastAsia="宋体" w:cs="宋体"/>
                <w:b w:val="0"/>
                <w:bCs w:val="0"/>
                <w:spacing w:val="-6"/>
                <w:sz w:val="21"/>
                <w:szCs w:val="21"/>
              </w:rPr>
              <w:t>考核内容包括：功能完整性； 功能正确性。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 w:hRule="atLeast"/>
          <w:jc w:val="center"/>
        </w:trPr>
        <w:tc>
          <w:tcPr>
            <w:tcW w:w="9074" w:type="dxa"/>
            <w:gridSpan w:val="4"/>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pPr>
            <w:r>
              <w:rPr>
                <w:rFonts w:hint="eastAsia" w:ascii="宋体" w:hAnsi="宋体" w:eastAsia="宋体" w:cs="宋体"/>
                <w:b/>
                <w:bCs/>
                <w:spacing w:val="-6"/>
                <w:sz w:val="21"/>
                <w:szCs w:val="21"/>
              </w:rPr>
              <w:t>模块 B   PLC 电气控制系统编程与调试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722" w:hRule="atLeast"/>
          <w:jc w:val="center"/>
        </w:trPr>
        <w:tc>
          <w:tcPr>
            <w:tcW w:w="1528" w:type="dxa"/>
            <w:gridSpan w:val="2"/>
            <w:vAlign w:val="top"/>
          </w:tcPr>
          <w:p>
            <w:pPr>
              <w:spacing w:line="258" w:lineRule="auto"/>
              <w:rPr>
                <w:rFonts w:ascii="Arial"/>
                <w:sz w:val="24"/>
                <w:szCs w:val="24"/>
              </w:rPr>
            </w:pPr>
          </w:p>
          <w:p>
            <w:pPr>
              <w:spacing w:line="258" w:lineRule="auto"/>
              <w:rPr>
                <w:rFonts w:ascii="Arial"/>
                <w:sz w:val="24"/>
                <w:szCs w:val="24"/>
              </w:rPr>
            </w:pPr>
          </w:p>
          <w:p>
            <w:pPr>
              <w:spacing w:line="259" w:lineRule="auto"/>
              <w:ind w:left="0" w:leftChars="0" w:firstLine="0" w:firstLineChars="0"/>
              <w:rPr>
                <w:rFonts w:ascii="Arial"/>
                <w:sz w:val="24"/>
                <w:szCs w:val="24"/>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模块B</w:t>
            </w:r>
            <w:r>
              <w:rPr>
                <w:rFonts w:hint="eastAsia" w:ascii="宋体" w:hAnsi="宋体" w:eastAsia="宋体" w:cs="宋体"/>
                <w:b w:val="0"/>
                <w:bCs w:val="0"/>
                <w:spacing w:val="-6"/>
                <w:sz w:val="21"/>
                <w:szCs w:val="21"/>
                <w:lang w:val="en-US" w:eastAsia="zh-CN"/>
              </w:rPr>
              <w:t xml:space="preserve"> </w:t>
            </w:r>
            <w:r>
              <w:rPr>
                <w:rFonts w:hint="eastAsia" w:ascii="宋体" w:hAnsi="宋体" w:eastAsia="宋体" w:cs="宋体"/>
                <w:b w:val="0"/>
                <w:bCs w:val="0"/>
                <w:spacing w:val="-6"/>
                <w:sz w:val="21"/>
                <w:szCs w:val="21"/>
              </w:rPr>
              <w:t>PLC电气控制的应用编程、调试和运行</w:t>
            </w:r>
          </w:p>
        </w:tc>
        <w:tc>
          <w:tcPr>
            <w:tcW w:w="7546" w:type="dxa"/>
            <w:gridSpan w:val="2"/>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工作内容包括：PLC控制程序编制；触摸屏画面组态；PLC与触摸屏、变频器通讯设置；变频器、伺服驱动器、步进驱动器等参数设置与调试。</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 xml:space="preserve">考核内容包括：系统功能完整性；系统功能正确性；人机交互界面的完整性。 </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注意：</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1、编程模式及指令不限，只考查功能正确性与人机交互及变频器通讯可实施性。</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rPr>
            </w:pPr>
            <w:r>
              <w:rPr>
                <w:rFonts w:hint="eastAsia" w:ascii="宋体" w:hAnsi="宋体" w:eastAsia="宋体" w:cs="宋体"/>
                <w:b w:val="0"/>
                <w:bCs w:val="0"/>
                <w:spacing w:val="-6"/>
                <w:sz w:val="21"/>
                <w:szCs w:val="21"/>
              </w:rPr>
              <w:t>2、该模块不需选手接线，变频器参数设置不受限制，可用软件及任何面板进行设置。</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sz w:val="24"/>
                <w:szCs w:val="24"/>
              </w:rPr>
            </w:pPr>
            <w:r>
              <w:rPr>
                <w:rFonts w:hint="eastAsia" w:ascii="宋体" w:hAnsi="宋体" w:eastAsia="宋体" w:cs="宋体"/>
                <w:b w:val="0"/>
                <w:bCs w:val="0"/>
                <w:spacing w:val="-6"/>
                <w:sz w:val="21"/>
                <w:szCs w:val="21"/>
              </w:rPr>
              <w:t>3、试题提供系统接线图及I/O表。</w:t>
            </w:r>
          </w:p>
        </w:tc>
      </w:tr>
    </w:tbl>
    <w:p>
      <w:pPr>
        <w:pStyle w:val="3"/>
        <w:bidi w:val="0"/>
        <w:rPr>
          <w:rFonts w:hint="default"/>
          <w:lang w:val="en-US" w:eastAsia="zh-CN"/>
        </w:rPr>
      </w:pPr>
      <w:r>
        <w:rPr>
          <w:rFonts w:hint="eastAsia"/>
          <w:lang w:val="en-US" w:eastAsia="zh-CN"/>
        </w:rPr>
        <w:t>（二）样题及赛题变化</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电工项目遵循公平、公正原则，命题流程借鉴世界技能大赛</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lang w:val="en-US" w:eastAsia="zh-CN"/>
        </w:rPr>
        <w:t>国赛</w:t>
      </w:r>
      <w:r>
        <w:rPr>
          <w:rFonts w:hint="eastAsia" w:ascii="宋体" w:hAnsi="宋体" w:eastAsia="宋体" w:cs="宋体"/>
          <w:spacing w:val="8"/>
          <w:sz w:val="21"/>
          <w:szCs w:val="21"/>
        </w:rPr>
        <w:t>的命题方式，采取以下方式确定赛题。</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由裁判长根据</w:t>
      </w:r>
      <w:r>
        <w:rPr>
          <w:rFonts w:hint="eastAsia" w:ascii="宋体" w:hAnsi="宋体" w:eastAsia="宋体" w:cs="宋体"/>
          <w:spacing w:val="8"/>
          <w:sz w:val="21"/>
          <w:szCs w:val="21"/>
          <w:lang w:val="en-US" w:eastAsia="zh-CN"/>
        </w:rPr>
        <w:t>场地</w:t>
      </w:r>
      <w:r>
        <w:rPr>
          <w:rFonts w:hint="eastAsia" w:ascii="宋体" w:hAnsi="宋体" w:eastAsia="宋体" w:cs="宋体"/>
          <w:spacing w:val="8"/>
          <w:sz w:val="21"/>
          <w:szCs w:val="21"/>
        </w:rPr>
        <w:t>情况，组织编制本项目竞赛试题。赛前</w:t>
      </w:r>
      <w:r>
        <w:rPr>
          <w:rFonts w:hint="eastAsia" w:ascii="宋体" w:hAnsi="宋体" w:eastAsia="宋体" w:cs="宋体"/>
          <w:spacing w:val="8"/>
          <w:sz w:val="21"/>
          <w:szCs w:val="21"/>
          <w:lang w:val="en-US" w:eastAsia="zh-CN"/>
        </w:rPr>
        <w:t>按照大赛</w:t>
      </w:r>
      <w:r>
        <w:rPr>
          <w:rFonts w:hint="eastAsia" w:ascii="宋体" w:hAnsi="宋体" w:eastAsia="宋体" w:cs="宋体"/>
          <w:spacing w:val="8"/>
          <w:sz w:val="21"/>
          <w:szCs w:val="21"/>
        </w:rPr>
        <w:t>组委会</w:t>
      </w:r>
      <w:r>
        <w:rPr>
          <w:rFonts w:hint="eastAsia" w:ascii="宋体" w:hAnsi="宋体" w:eastAsia="宋体" w:cs="宋体"/>
          <w:spacing w:val="8"/>
          <w:sz w:val="21"/>
          <w:szCs w:val="21"/>
          <w:lang w:val="en-US" w:eastAsia="zh-CN"/>
        </w:rPr>
        <w:t>要求</w:t>
      </w:r>
      <w:r>
        <w:rPr>
          <w:rFonts w:hint="eastAsia" w:ascii="宋体" w:hAnsi="宋体" w:eastAsia="宋体" w:cs="宋体"/>
          <w:spacing w:val="8"/>
          <w:sz w:val="21"/>
          <w:szCs w:val="21"/>
        </w:rPr>
        <w:t>，</w:t>
      </w:r>
      <w:r>
        <w:rPr>
          <w:rFonts w:hint="eastAsia" w:ascii="宋体" w:hAnsi="宋体" w:eastAsia="宋体" w:cs="宋体"/>
          <w:spacing w:val="8"/>
          <w:sz w:val="21"/>
          <w:szCs w:val="21"/>
          <w:lang w:val="en-US" w:eastAsia="zh-CN"/>
        </w:rPr>
        <w:t>提前</w:t>
      </w:r>
      <w:r>
        <w:rPr>
          <w:rFonts w:hint="eastAsia" w:ascii="宋体" w:hAnsi="宋体" w:eastAsia="宋体" w:cs="宋体"/>
          <w:spacing w:val="8"/>
          <w:sz w:val="21"/>
          <w:szCs w:val="21"/>
        </w:rPr>
        <w:t>公布技术文件。各参赛队围绕</w:t>
      </w:r>
      <w:r>
        <w:rPr>
          <w:rFonts w:hint="eastAsia" w:ascii="宋体" w:hAnsi="宋体" w:eastAsia="宋体" w:cs="宋体"/>
          <w:spacing w:val="8"/>
          <w:sz w:val="21"/>
          <w:szCs w:val="21"/>
          <w:lang w:val="en-US" w:eastAsia="zh-CN"/>
        </w:rPr>
        <w:t>技术文件内容</w:t>
      </w:r>
      <w:r>
        <w:rPr>
          <w:rFonts w:hint="eastAsia" w:ascii="宋体" w:hAnsi="宋体" w:eastAsia="宋体" w:cs="宋体"/>
          <w:spacing w:val="8"/>
          <w:sz w:val="21"/>
          <w:szCs w:val="21"/>
        </w:rPr>
        <w:t>关键考核要点等进行</w:t>
      </w:r>
      <w:r>
        <w:rPr>
          <w:rFonts w:hint="eastAsia" w:ascii="宋体" w:hAnsi="宋体" w:eastAsia="宋体" w:cs="宋体"/>
          <w:spacing w:val="8"/>
          <w:sz w:val="21"/>
          <w:szCs w:val="21"/>
          <w:lang w:val="en-US" w:eastAsia="zh-CN"/>
        </w:rPr>
        <w:t>训练</w:t>
      </w:r>
      <w:r>
        <w:rPr>
          <w:rFonts w:hint="eastAsia" w:ascii="宋体" w:hAnsi="宋体" w:eastAsia="宋体" w:cs="宋体"/>
          <w:spacing w:val="8"/>
          <w:sz w:val="21"/>
          <w:szCs w:val="21"/>
        </w:rPr>
        <w:t>，各个模块竞赛试题命制流程和公布</w:t>
      </w:r>
      <w:r>
        <w:rPr>
          <w:rFonts w:hint="eastAsia" w:ascii="宋体" w:hAnsi="宋体" w:eastAsia="宋体" w:cs="宋体"/>
          <w:spacing w:val="8"/>
          <w:sz w:val="21"/>
          <w:szCs w:val="21"/>
          <w:lang w:val="en-US" w:eastAsia="zh-CN"/>
        </w:rPr>
        <w:t>样题</w:t>
      </w:r>
      <w:r>
        <w:rPr>
          <w:rFonts w:hint="eastAsia" w:ascii="宋体" w:hAnsi="宋体" w:eastAsia="宋体" w:cs="宋体"/>
          <w:spacing w:val="8"/>
          <w:sz w:val="21"/>
          <w:szCs w:val="21"/>
        </w:rPr>
        <w:t>具体如下：</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A  继电控制线路设计与安装、调试。</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default"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赛前由裁判长组织对试题进行不超过30%的修订，命制本模块竞赛试题。</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模块 B  PLC 电气控制系统编程与调试。</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在试题开发和试验的基础上，裁判长结合赛场设施设备、材料等实际，组织对试题进行不超过30%的修改，命制本模块竞赛试题。</w:t>
      </w:r>
    </w:p>
    <w:p>
      <w:pPr>
        <w:pStyle w:val="3"/>
        <w:pageBreakBefore w:val="0"/>
        <w:widowControl w:val="0"/>
        <w:kinsoku/>
        <w:wordWrap/>
        <w:overflowPunct/>
        <w:topLinePunct w:val="0"/>
        <w:autoSpaceDE/>
        <w:autoSpaceDN/>
        <w:bidi w:val="0"/>
        <w:adjustRightInd/>
        <w:snapToGrid/>
        <w:spacing w:line="560" w:lineRule="exact"/>
        <w:textAlignment w:val="auto"/>
      </w:pPr>
      <w:r>
        <w:t>（三）评判标准</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1.分数权重</w:t>
      </w:r>
    </w:p>
    <w:p>
      <w:pPr>
        <w:pStyle w:val="3"/>
        <w:keepNext/>
        <w:keepLines/>
        <w:pageBreakBefore w:val="0"/>
        <w:widowControl w:val="0"/>
        <w:kinsoku/>
        <w:wordWrap/>
        <w:overflowPunct/>
        <w:topLinePunct w:val="0"/>
        <w:autoSpaceDE/>
        <w:autoSpaceDN/>
        <w:bidi w:val="0"/>
        <w:adjustRightInd/>
        <w:snapToGrid/>
        <w:spacing w:after="40" w:line="560" w:lineRule="exact"/>
        <w:ind w:firstLine="880"/>
        <w:jc w:val="both"/>
        <w:textAlignment w:val="auto"/>
        <w:rPr>
          <w:rFonts w:hint="eastAsia" w:ascii="宋体" w:hAnsi="宋体" w:eastAsia="宋体" w:cs="宋体"/>
          <w:b w:val="0"/>
          <w:bCs w:val="0"/>
          <w:spacing w:val="8"/>
          <w:kern w:val="2"/>
          <w:sz w:val="21"/>
          <w:szCs w:val="21"/>
          <w:lang w:val="en-US" w:eastAsia="zh-CN" w:bidi="ar-SA"/>
        </w:rPr>
      </w:pPr>
      <w:r>
        <w:rPr>
          <w:rFonts w:hint="eastAsia" w:ascii="宋体" w:hAnsi="宋体" w:eastAsia="宋体" w:cs="宋体"/>
          <w:b w:val="0"/>
          <w:bCs w:val="0"/>
          <w:spacing w:val="8"/>
          <w:kern w:val="2"/>
          <w:sz w:val="21"/>
          <w:szCs w:val="21"/>
          <w:lang w:val="en-US" w:eastAsia="zh-CN" w:bidi="ar-SA"/>
        </w:rPr>
        <w:t>竞赛为实际操作技能竞赛，满分100 分。</w:t>
      </w:r>
    </w:p>
    <w:p>
      <w:pPr>
        <w:pStyle w:val="3"/>
        <w:keepNext/>
        <w:keepLines/>
        <w:pageBreakBefore w:val="0"/>
        <w:widowControl w:val="0"/>
        <w:kinsoku/>
        <w:wordWrap/>
        <w:overflowPunct/>
        <w:topLinePunct w:val="0"/>
        <w:autoSpaceDE/>
        <w:autoSpaceDN/>
        <w:bidi w:val="0"/>
        <w:adjustRightInd/>
        <w:snapToGrid/>
        <w:spacing w:before="0" w:beforeLines="100" w:after="0" w:afterLines="50" w:line="360" w:lineRule="auto"/>
        <w:ind w:firstLine="880"/>
        <w:jc w:val="center"/>
        <w:textAlignment w:val="auto"/>
        <w:rPr>
          <w:rFonts w:hint="eastAsia" w:ascii="宋体" w:hAnsi="宋体" w:eastAsia="宋体" w:cs="宋体"/>
          <w:b w:val="0"/>
          <w:bCs w:val="0"/>
          <w:spacing w:val="8"/>
          <w:kern w:val="2"/>
          <w:sz w:val="21"/>
          <w:szCs w:val="21"/>
          <w:lang w:val="en-US" w:eastAsia="zh-CN" w:bidi="ar-SA"/>
        </w:rPr>
      </w:pPr>
      <w:r>
        <w:rPr>
          <w:rFonts w:hint="eastAsia" w:ascii="宋体" w:hAnsi="宋体" w:eastAsia="宋体" w:cs="宋体"/>
          <w:b w:val="0"/>
          <w:bCs w:val="0"/>
          <w:spacing w:val="8"/>
          <w:kern w:val="2"/>
          <w:sz w:val="21"/>
          <w:szCs w:val="21"/>
          <w:lang w:val="en-US" w:eastAsia="zh-CN" w:bidi="ar-SA"/>
        </w:rPr>
        <w:t>各模块的分数权重见表3</w:t>
      </w:r>
    </w:p>
    <w:tbl>
      <w:tblPr>
        <w:tblStyle w:val="19"/>
        <w:tblW w:w="8705"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6"/>
        <w:gridCol w:w="1227"/>
        <w:gridCol w:w="3893"/>
        <w:gridCol w:w="21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1" w:hRule="atLeast"/>
          <w:jc w:val="center"/>
        </w:trPr>
        <w:tc>
          <w:tcPr>
            <w:tcW w:w="1426" w:type="dxa"/>
            <w:tcBorders>
              <w:bottom w:val="nil"/>
            </w:tcBorders>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模块</w:t>
            </w:r>
          </w:p>
        </w:tc>
        <w:tc>
          <w:tcPr>
            <w:tcW w:w="1227" w:type="dxa"/>
            <w:tcBorders>
              <w:bottom w:val="nil"/>
            </w:tcBorders>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编号</w:t>
            </w:r>
          </w:p>
        </w:tc>
        <w:tc>
          <w:tcPr>
            <w:tcW w:w="3893" w:type="dxa"/>
            <w:tcBorders>
              <w:bottom w:val="nil"/>
            </w:tcBorders>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竞赛内容</w:t>
            </w:r>
          </w:p>
        </w:tc>
        <w:tc>
          <w:tcPr>
            <w:tcW w:w="2159" w:type="dxa"/>
            <w:shd w:val="clear" w:color="auto" w:fill="92D050"/>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总分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61" w:hRule="atLeast"/>
          <w:jc w:val="center"/>
        </w:trPr>
        <w:tc>
          <w:tcPr>
            <w:tcW w:w="142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模块一</w:t>
            </w:r>
          </w:p>
        </w:tc>
        <w:tc>
          <w:tcPr>
            <w:tcW w:w="122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A</w:t>
            </w:r>
          </w:p>
        </w:tc>
        <w:tc>
          <w:tcPr>
            <w:tcW w:w="389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继电控制线路设计与安装、调试</w:t>
            </w:r>
          </w:p>
        </w:tc>
        <w:tc>
          <w:tcPr>
            <w:tcW w:w="2159"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29" w:hRule="atLeast"/>
          <w:jc w:val="center"/>
        </w:trPr>
        <w:tc>
          <w:tcPr>
            <w:tcW w:w="142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模块二</w:t>
            </w:r>
          </w:p>
        </w:tc>
        <w:tc>
          <w:tcPr>
            <w:tcW w:w="122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B</w:t>
            </w:r>
          </w:p>
        </w:tc>
        <w:tc>
          <w:tcPr>
            <w:tcW w:w="389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PLC电气控制系统编程与调试</w:t>
            </w:r>
          </w:p>
        </w:tc>
        <w:tc>
          <w:tcPr>
            <w:tcW w:w="2159"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3" w:hRule="atLeast"/>
          <w:jc w:val="center"/>
        </w:trPr>
        <w:tc>
          <w:tcPr>
            <w:tcW w:w="6546" w:type="dxa"/>
            <w:gridSpan w:val="3"/>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rPr>
            </w:pPr>
            <w:r>
              <w:rPr>
                <w:rFonts w:hint="eastAsia" w:ascii="宋体" w:hAnsi="宋体" w:eastAsia="宋体" w:cs="宋体"/>
                <w:b/>
                <w:bCs/>
                <w:spacing w:val="-6"/>
                <w:sz w:val="21"/>
                <w:szCs w:val="21"/>
              </w:rPr>
              <w:t>总   分</w:t>
            </w:r>
          </w:p>
        </w:tc>
        <w:tc>
          <w:tcPr>
            <w:tcW w:w="2159"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100</w:t>
            </w:r>
          </w:p>
        </w:tc>
      </w:tr>
    </w:tbl>
    <w:p>
      <w:pPr>
        <w:keepNext w:val="0"/>
        <w:keepLines w:val="0"/>
        <w:pageBreakBefore w:val="0"/>
        <w:widowControl w:val="0"/>
        <w:kinsoku/>
        <w:wordWrap/>
        <w:overflowPunct/>
        <w:topLinePunct w:val="0"/>
        <w:autoSpaceDE/>
        <w:autoSpaceDN/>
        <w:bidi w:val="0"/>
        <w:adjustRightInd/>
        <w:snapToGrid/>
        <w:spacing w:before="40" w:line="520" w:lineRule="exact"/>
        <w:ind w:left="0" w:leftChars="0"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电工项目</w:t>
      </w:r>
      <w:r>
        <w:rPr>
          <w:rFonts w:hint="eastAsia" w:ascii="宋体" w:hAnsi="宋体" w:eastAsia="宋体" w:cs="宋体"/>
          <w:spacing w:val="8"/>
          <w:sz w:val="21"/>
          <w:szCs w:val="21"/>
          <w:lang w:val="en-US" w:eastAsia="zh-CN"/>
        </w:rPr>
        <w:t>中模块A和模块B都包含</w:t>
      </w:r>
      <w:r>
        <w:rPr>
          <w:rFonts w:hint="eastAsia" w:ascii="宋体" w:hAnsi="宋体" w:eastAsia="宋体" w:cs="宋体"/>
          <w:spacing w:val="8"/>
          <w:sz w:val="21"/>
          <w:szCs w:val="21"/>
        </w:rPr>
        <w:t>测量和评价两种评分</w:t>
      </w:r>
      <w:r>
        <w:rPr>
          <w:rFonts w:hint="eastAsia" w:ascii="宋体" w:hAnsi="宋体" w:eastAsia="宋体" w:cs="宋体"/>
          <w:spacing w:val="8"/>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（1）评价分（主观）</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评价分（主观）打分方式：由裁判长</w:t>
      </w:r>
      <w:r>
        <w:rPr>
          <w:rFonts w:hint="eastAsia" w:ascii="宋体" w:hAnsi="宋体" w:cs="宋体"/>
          <w:spacing w:val="8"/>
          <w:sz w:val="21"/>
          <w:szCs w:val="21"/>
          <w:lang w:val="en-US" w:eastAsia="zh-CN"/>
        </w:rPr>
        <w:t>以</w:t>
      </w:r>
      <w:r>
        <w:rPr>
          <w:rFonts w:hint="eastAsia" w:ascii="宋体" w:hAnsi="宋体" w:eastAsia="宋体" w:cs="宋体"/>
          <w:spacing w:val="8"/>
          <w:sz w:val="21"/>
          <w:szCs w:val="21"/>
          <w:lang w:val="en-US" w:eastAsia="zh-CN"/>
        </w:rPr>
        <w:t>3名裁判为一组组成评判小组，每名裁判员按照“0-3”4 个分数等级（0 分为不符合职业标准要求，1 分为基本符合职业标准要求，2 分为符合职业标准要求，3 分为超出职业标准要求）独立评判，如任意2名裁判员之间的评判结果差距超出1个分数等级，则重新进行评判。权重及要求见下表4。</w:t>
      </w:r>
    </w:p>
    <w:p>
      <w:pPr>
        <w:pStyle w:val="3"/>
        <w:keepNext/>
        <w:keepLines/>
        <w:pageBreakBefore w:val="0"/>
        <w:widowControl w:val="0"/>
        <w:kinsoku/>
        <w:wordWrap/>
        <w:overflowPunct/>
        <w:topLinePunct w:val="0"/>
        <w:autoSpaceDE/>
        <w:autoSpaceDN/>
        <w:bidi w:val="0"/>
        <w:adjustRightInd/>
        <w:snapToGrid/>
        <w:spacing w:before="0" w:beforeLines="100" w:after="0" w:afterLines="50"/>
        <w:ind w:firstLine="88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表4权重及要求</w:t>
      </w:r>
    </w:p>
    <w:tbl>
      <w:tblPr>
        <w:tblStyle w:val="19"/>
        <w:tblW w:w="88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17"/>
        <w:gridCol w:w="64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5" w:hRule="atLeast"/>
          <w:jc w:val="center"/>
        </w:trPr>
        <w:tc>
          <w:tcPr>
            <w:tcW w:w="2417"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权重分值</w:t>
            </w:r>
          </w:p>
        </w:tc>
        <w:tc>
          <w:tcPr>
            <w:tcW w:w="6436"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要求描述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6" w:hRule="atLeast"/>
          <w:jc w:val="center"/>
        </w:trPr>
        <w:tc>
          <w:tcPr>
            <w:tcW w:w="241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0分</w:t>
            </w:r>
          </w:p>
        </w:tc>
        <w:tc>
          <w:tcPr>
            <w:tcW w:w="643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各方面均低于行业标准，包括“没做”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1" w:hRule="atLeast"/>
          <w:jc w:val="center"/>
        </w:trPr>
        <w:tc>
          <w:tcPr>
            <w:tcW w:w="241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1分</w:t>
            </w:r>
          </w:p>
        </w:tc>
        <w:tc>
          <w:tcPr>
            <w:tcW w:w="643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达到行业标准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8" w:hRule="atLeast"/>
          <w:jc w:val="center"/>
        </w:trPr>
        <w:tc>
          <w:tcPr>
            <w:tcW w:w="241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2分</w:t>
            </w:r>
          </w:p>
        </w:tc>
        <w:tc>
          <w:tcPr>
            <w:tcW w:w="643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达到行业标准，且某些方面超过标准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0" w:hRule="atLeast"/>
          <w:jc w:val="center"/>
        </w:trPr>
        <w:tc>
          <w:tcPr>
            <w:tcW w:w="241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3分</w:t>
            </w:r>
          </w:p>
        </w:tc>
        <w:tc>
          <w:tcPr>
            <w:tcW w:w="643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达到行业期待的优秀水平</w:t>
            </w:r>
          </w:p>
        </w:tc>
      </w:tr>
    </w:tbl>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（2）测量分（客观）</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测量分（客观）打分方式：按任务设置若干个评分组， 每组由 3 名及以上裁判构成。每个组所有裁判一起商议， 在对该选手在该项中的实际得分达成一致后最终只给出一个分值，达到要求为“满分 ”，达不到要求为“0 ”分。</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2.评判方法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（1） 裁判组构建</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裁判员从市裁判库中抽出担任，根据组委会要求提前上报推荐裁判员名单并接受培训和监督。在竞赛期间，已确定推荐的裁判员无论何种原因，均不得更换。裁判员对自 己代表队的选手执行回避原则，在评判时不能对本代表队进行评分。此外，竞赛进行（每天早晨开始到下午竞赛结束之间）期间，除了规定的竞赛交流时间外，其他时间（包括午餐时间） ，裁判员均不得和自 己代表队的选手进行任何交流。选手比赛时，工位随机抽签决定。裁判长根据选手比赛的工位抽签情况和比赛进行过程，指定裁判员承担相应的执裁任务，组建裁判组完成评分工作。</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（2） 评分流程</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模块A 继电控制线路设计与安装、调试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裁判长指定裁判员组成继电控制线路系统功能评分裁判小组。选手打开电源，做好评分准备。选手在裁判小组长的指令下操作设备，将所完成的功能逐一演示给裁判小组；裁判小组根据电机运行情况，依据客观评分方法和标准，判定是否得分。</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裁判长指定裁判员组成继电控制线路系统专业技术规范评分裁判小组,根据主观评分方法和标准进行专业技术规范评分。选手被要求走出自 己的工位等待。裁判根据技术规范的内容，逐项检查设备元件安装工艺的规范性和整体布局的合理性，判定得分多少。</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评分过程结束后由裁判小组向选手说明评分结果，并请选手确认签字。</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模块B  PLC 电气控制系统编程与调试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裁判长指定裁判员组成PLC电气控制系统功能评分裁判小组。选手打开电源，做好评分准备。选手根据裁判指令操作设备，将所完成的功能逐一演示给裁判小组，根据真实场景中设备运行情况与评分表进行比较，裁判判定是否得分。评分过程结束后由裁判小组向选手说明评分结果，并请选手确认签字。</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（3） 统分方法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首先由各组裁判进行复核后由录分员录入电脑，再将选手得分打印交由裁判长审核后签字确认，所有签字后的分数在系统中进行“锁定 ”。</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3.成绩并列排序方法</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竞赛总成绩由模块A、模块B的成绩组成。竞赛总成绩作为参赛选手名次排序的依据。参赛选手总成绩相同时，模块A得分高的选手名次在前；总成绩和模块A成绩相同时，模块A工艺得分高的选手名次在前；以上三项成绩相同时，模块B得分高的选手名次在前；以上四项成绩相同时，用时短的选手名次在前。</w:t>
      </w:r>
      <w:bookmarkStart w:id="10" w:name="bookmark19"/>
      <w:bookmarkEnd w:id="10"/>
    </w:p>
    <w:p>
      <w:pPr>
        <w:pStyle w:val="2"/>
        <w:numPr>
          <w:ilvl w:val="0"/>
          <w:numId w:val="1"/>
        </w:numPr>
        <w:bidi w:val="0"/>
        <w:rPr>
          <w:rFonts w:hint="eastAsia"/>
          <w:lang w:val="en-US" w:eastAsia="zh-CN"/>
        </w:rPr>
      </w:pPr>
      <w:r>
        <w:rPr>
          <w:rFonts w:hint="eastAsia"/>
          <w:lang w:val="en-US" w:eastAsia="zh-CN"/>
        </w:rPr>
        <w:t>竞赛细则</w:t>
      </w:r>
    </w:p>
    <w:p>
      <w:pPr>
        <w:pStyle w:val="3"/>
        <w:bidi w:val="0"/>
      </w:pPr>
      <w:r>
        <w:t>（</w:t>
      </w:r>
      <w:r>
        <w:rPr>
          <w:rFonts w:hint="eastAsia"/>
          <w:lang w:val="en-US" w:eastAsia="zh-CN"/>
        </w:rPr>
        <w:t>一</w:t>
      </w:r>
      <w:r>
        <w:t>）</w:t>
      </w:r>
      <w:r>
        <w:rPr>
          <w:rFonts w:hint="eastAsia"/>
          <w:lang w:val="en-US" w:eastAsia="zh-CN"/>
        </w:rPr>
        <w:t>竞</w:t>
      </w:r>
      <w:r>
        <w:t>赛时间安排</w:t>
      </w:r>
    </w:p>
    <w:p>
      <w:pPr>
        <w:keepNext w:val="0"/>
        <w:keepLines w:val="0"/>
        <w:pageBreakBefore w:val="0"/>
        <w:widowControl w:val="0"/>
        <w:kinsoku/>
        <w:wordWrap/>
        <w:overflowPunct/>
        <w:topLinePunct w:val="0"/>
        <w:autoSpaceDE/>
        <w:autoSpaceDN/>
        <w:bidi w:val="0"/>
        <w:adjustRightInd/>
        <w:snapToGrid/>
        <w:spacing w:before="40" w:line="52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本项目比赛总时间为330分钟（5.5 小时），各模块时间分配如表5。比赛时间分为临赛准备阶段、比赛阶段和赛后阶段三个阶段。竞赛时间安排根据报名情况可能会有调整，以比赛实际安排为准。表5模块时间分配如下</w:t>
      </w:r>
      <w:r>
        <w:rPr>
          <w:rFonts w:hint="eastAsia" w:ascii="宋体" w:hAnsi="宋体" w:cs="宋体"/>
          <w:spacing w:val="8"/>
          <w:sz w:val="21"/>
          <w:szCs w:val="21"/>
          <w:lang w:val="en-US" w:eastAsia="zh-CN"/>
        </w:rPr>
        <w:t>：</w:t>
      </w:r>
    </w:p>
    <w:p>
      <w:pPr>
        <w:keepNext w:val="0"/>
        <w:keepLines w:val="0"/>
        <w:widowControl/>
        <w:suppressLineNumbers w:val="0"/>
        <w:jc w:val="left"/>
      </w:pPr>
    </w:p>
    <w:tbl>
      <w:tblPr>
        <w:tblStyle w:val="19"/>
        <w:tblpPr w:leftFromText="180" w:rightFromText="180" w:vertAnchor="text" w:horzAnchor="page" w:tblpXSpec="center" w:tblpY="-135"/>
        <w:tblOverlap w:val="never"/>
        <w:tblW w:w="9080"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4"/>
        <w:gridCol w:w="869"/>
        <w:gridCol w:w="3614"/>
        <w:gridCol w:w="1746"/>
        <w:gridCol w:w="1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7" w:hRule="atLeast"/>
          <w:jc w:val="center"/>
        </w:trPr>
        <w:tc>
          <w:tcPr>
            <w:tcW w:w="9080" w:type="dxa"/>
            <w:gridSpan w:val="5"/>
            <w:shd w:val="clear" w:color="auto" w:fill="FABF8F"/>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bCs/>
                <w:spacing w:val="-6"/>
                <w:sz w:val="21"/>
                <w:szCs w:val="21"/>
                <w:lang w:val="en-US" w:eastAsia="zh-CN"/>
              </w:rPr>
              <w:t>竞赛安排表（具体比赛场次和时间以组委会统一发布）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jc w:val="center"/>
        </w:trPr>
        <w:tc>
          <w:tcPr>
            <w:tcW w:w="1264" w:type="dxa"/>
            <w:shd w:val="clear" w:color="auto" w:fill="4F81BD"/>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模块</w:t>
            </w:r>
          </w:p>
        </w:tc>
        <w:tc>
          <w:tcPr>
            <w:tcW w:w="869" w:type="dxa"/>
            <w:shd w:val="clear" w:color="auto" w:fill="4F81BD"/>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编号</w:t>
            </w:r>
          </w:p>
        </w:tc>
        <w:tc>
          <w:tcPr>
            <w:tcW w:w="3614" w:type="dxa"/>
            <w:shd w:val="clear" w:color="auto" w:fill="4F81BD"/>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竞赛内容</w:t>
            </w:r>
          </w:p>
        </w:tc>
        <w:tc>
          <w:tcPr>
            <w:tcW w:w="1746" w:type="dxa"/>
            <w:shd w:val="clear" w:color="auto" w:fill="4F81BD"/>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竞赛时长（min）</w:t>
            </w:r>
          </w:p>
        </w:tc>
        <w:tc>
          <w:tcPr>
            <w:tcW w:w="1587" w:type="dxa"/>
            <w:shd w:val="clear" w:color="auto" w:fill="4F81BD"/>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bCs/>
                <w:spacing w:val="-6"/>
                <w:sz w:val="21"/>
                <w:szCs w:val="21"/>
                <w:lang w:val="en-US" w:eastAsia="zh-CN"/>
              </w:rPr>
            </w:pPr>
            <w:r>
              <w:rPr>
                <w:rFonts w:hint="eastAsia" w:ascii="宋体" w:hAnsi="宋体" w:eastAsia="宋体" w:cs="宋体"/>
                <w:b/>
                <w:bCs/>
                <w:spacing w:val="-6"/>
                <w:sz w:val="21"/>
                <w:szCs w:val="21"/>
                <w:lang w:val="en-US" w:eastAsia="zh-CN"/>
              </w:rPr>
              <w:t>比赛时间安排</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31" w:hRule="atLeast"/>
          <w:jc w:val="center"/>
        </w:trPr>
        <w:tc>
          <w:tcPr>
            <w:tcW w:w="126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模块一</w:t>
            </w:r>
          </w:p>
        </w:tc>
        <w:tc>
          <w:tcPr>
            <w:tcW w:w="86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A</w:t>
            </w:r>
          </w:p>
        </w:tc>
        <w:tc>
          <w:tcPr>
            <w:tcW w:w="361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继电控制线路设计与安装、调试</w:t>
            </w:r>
          </w:p>
        </w:tc>
        <w:tc>
          <w:tcPr>
            <w:tcW w:w="174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210</w:t>
            </w:r>
          </w:p>
        </w:tc>
        <w:tc>
          <w:tcPr>
            <w:tcW w:w="158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比赛日程表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9" w:hRule="atLeast"/>
          <w:jc w:val="center"/>
        </w:trPr>
        <w:tc>
          <w:tcPr>
            <w:tcW w:w="126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模块二</w:t>
            </w:r>
          </w:p>
        </w:tc>
        <w:tc>
          <w:tcPr>
            <w:tcW w:w="86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B</w:t>
            </w:r>
          </w:p>
        </w:tc>
        <w:tc>
          <w:tcPr>
            <w:tcW w:w="361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PLC电气控制系统编程与调试</w:t>
            </w:r>
          </w:p>
        </w:tc>
        <w:tc>
          <w:tcPr>
            <w:tcW w:w="174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120</w:t>
            </w:r>
          </w:p>
        </w:tc>
        <w:tc>
          <w:tcPr>
            <w:tcW w:w="158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比赛日程表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7" w:hRule="atLeast"/>
          <w:jc w:val="center"/>
        </w:trPr>
        <w:tc>
          <w:tcPr>
            <w:tcW w:w="5747" w:type="dxa"/>
            <w:gridSpan w:val="3"/>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总时间</w:t>
            </w:r>
          </w:p>
        </w:tc>
        <w:tc>
          <w:tcPr>
            <w:tcW w:w="174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330</w:t>
            </w:r>
          </w:p>
        </w:tc>
        <w:tc>
          <w:tcPr>
            <w:tcW w:w="1587"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比赛日程表</w:t>
            </w:r>
          </w:p>
        </w:tc>
      </w:tr>
    </w:tbl>
    <w:p>
      <w:pPr>
        <w:tabs>
          <w:tab w:val="left" w:pos="1920"/>
        </w:tabs>
        <w:bidi w:val="0"/>
        <w:jc w:val="left"/>
        <w:rPr>
          <w:rFonts w:ascii="Times New Roman" w:hAnsi="Times New Roman" w:eastAsia="宋体" w:cs="Times New Roman"/>
          <w:kern w:val="2"/>
          <w:sz w:val="21"/>
          <w:szCs w:val="22"/>
          <w:lang w:val="en-US" w:eastAsia="zh-CN" w:bidi="ar-SA"/>
        </w:rPr>
        <w:sectPr>
          <w:footerReference r:id="rId5" w:type="default"/>
          <w:pgSz w:w="11910" w:h="16840"/>
          <w:pgMar w:top="1225" w:right="1268" w:bottom="1225" w:left="1268" w:header="0" w:footer="1049" w:gutter="0"/>
          <w:pgNumType w:fmt="decimal" w:start="1"/>
          <w:cols w:space="720" w:num="1"/>
        </w:sectPr>
      </w:pPr>
    </w:p>
    <w:p>
      <w:pPr>
        <w:pStyle w:val="3"/>
        <w:bidi w:val="0"/>
      </w:pPr>
      <w:bookmarkStart w:id="11" w:name="bookmark6"/>
      <w:bookmarkEnd w:id="11"/>
      <w:r>
        <w:rPr>
          <w:lang w:val="en-US" w:eastAsia="zh-CN"/>
        </w:rPr>
        <w:t>（二）裁判员分组和职责</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裁判员应服从裁判长的管理，裁判员的工作由裁判长根据每日比赛的进程指派决定。</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裁判员的工作分为现场执裁、检测监督、安全管理、测量评判和评价评判等。工作分小组轮换开展。评价评分前应由裁判长统一评判标准。</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裁判员在比赛期间不得使用手机、照相机、录像机等设备，执裁过程中不得和场外人员聊天。</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现场执裁的裁判员负责检查选手携带的物品。违规物品一律清出赛场。比赛结束后裁判员要命令选手停止一切操作。监督选手撤离竞赛工位。</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比赛中裁判员不得主动进入工位接近选手，除非选手举手示意需要裁判员解决比赛中出现的问题，或者是需要裁判员对选手的安全问题进行干预。</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除现场裁判，其他裁判人员在没有具体工作任务时，可在裁判人员工作区，未经裁判长允许不可进入选手操作区。</w:t>
      </w:r>
    </w:p>
    <w:p>
      <w:pPr>
        <w:pStyle w:val="3"/>
        <w:bidi w:val="0"/>
        <w:rPr>
          <w:rFonts w:hint="eastAsia"/>
          <w:lang w:val="en-US" w:eastAsia="zh-CN"/>
        </w:rPr>
      </w:pPr>
      <w:r>
        <w:rPr>
          <w:rFonts w:hint="eastAsia"/>
          <w:lang w:val="en-US" w:eastAsia="zh-CN"/>
        </w:rPr>
        <w:t>（三）竞赛实施细则</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1.赛前准备</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 xml:space="preserve">1）参赛选手报到时需领取参赛证卡、参赛资料、参赛物料，报到完毕后提前前往赛场，熟悉场地。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lang w:val="en-US" w:eastAsia="zh-CN"/>
        </w:rPr>
        <w:t xml:space="preserve">2)赛前20分钟，到指定检录口进行检录，由检录人员核实编号，开赛后迟到15分钟的选手视为自动放弃参赛。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3)检录完毕，每位选手按照选手抽签工工位号到指定位置。可携带竞赛规定必备的工具、用具（如笔、草稿纸等）等。所有通讯、照相、摄像、磁盘等工具一律不得带入比赛现场。</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2.竞赛实施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1)在竞赛过程中，选手应遵守安全操作规程，接受裁判员的监督和警示，确保参赛选手人身安全及设备安全。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2)竞赛过程中严禁交头接耳，也不能相互借用工具、仪器仪表。各参赛选手间不能走动、交谈。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3)由裁判长统一告知选手比赛规则、时间和流程后，裁判长宣布比赛正式开始并计时。比赛过程中，选手若需休息、饮水或去洗手间，一律计算在操作时间内。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4)选手进入赛场后，不得擅自离开赛场，因病或其他原因离开赛场或终止比赛，应向裁判示意，须经赛场裁判长同意，并在赛场记录表上签字确认后，方可离开赛场并在赛场工作人员指引下到达指定地点。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因参赛选手个人误操作造成人身安全事故或设备故障时，裁判长有权中止选手竞赛。如非参赛选手个人因素出现的设备或工具故障而无法继续竞赛时，参赛选手可提出更换设备或工具的要求，裁判长同意并更换后，参赛选手可继续参加竞赛，并给参赛选手补足所耽误的竞赛时间。选手自带设备和工具，赛场不负责更换。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6)裁判长在竞赛结束前30分钟、10 分钟进行竞赛剩余时间提醒。裁判长发布竞赛结束指令后，未完成任务的参赛选手应立即停止操作，不得以任何理由拖延竞赛时间，并按要求清理赛位。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7)选手须按照程序提交比赛结果（任务书、报告），配合裁判做好赛场情况记录，并签字确认，裁判提出签名要求时，不得无故拒绝。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3.选手要求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1）选手必须正确选择和使用工具对设备和材料进行操作，以避免人身伤害或设备器件损坏。竞赛现场不得使用明火，或者</w:t>
      </w:r>
      <w:r>
        <w:rPr>
          <w:rFonts w:hint="eastAsia" w:ascii="宋体" w:hAnsi="宋体" w:cs="宋体"/>
          <w:spacing w:val="8"/>
          <w:sz w:val="21"/>
          <w:szCs w:val="21"/>
          <w:lang w:val="en-US" w:eastAsia="zh-CN"/>
        </w:rPr>
        <w:t>使用</w:t>
      </w:r>
      <w:r>
        <w:rPr>
          <w:rFonts w:hint="eastAsia" w:ascii="宋体" w:hAnsi="宋体" w:eastAsia="宋体" w:cs="宋体"/>
          <w:spacing w:val="8"/>
          <w:sz w:val="21"/>
          <w:szCs w:val="21"/>
          <w:lang w:val="en-US" w:eastAsia="zh-CN"/>
        </w:rPr>
        <w:t xml:space="preserve">会产生较多火花的加工和操作方式。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2）选手禁止将移动电话带入比赛工位禁止比赛时使用手机、照相机、录像机等设备，禁止携带和使用自带的任何存储设备。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3）比赛日内选手比赛工具以及赛场提供的物品、资料一律不准带离比赛工位。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4）比赛时，除裁判长和现场裁判外任何人员不得主动接近选手及其工作区域，选手有问题只能向裁判长和现场裁判反映。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5）参赛选手在比赛期间只允许在自己的工位内工作,不准离开比赛工位，如果有特殊原因需离开工位，必须通知现场裁判，得到允许后方可离开。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6）参赛选手只允许使用自己工位上的设备和工具，除裁判长同意</w:t>
      </w:r>
      <w:r>
        <w:rPr>
          <w:rFonts w:hint="eastAsia" w:ascii="宋体" w:hAnsi="宋体" w:cs="宋体"/>
          <w:spacing w:val="8"/>
          <w:sz w:val="21"/>
          <w:szCs w:val="21"/>
          <w:lang w:val="en-US" w:eastAsia="zh-CN"/>
        </w:rPr>
        <w:t>外，不</w:t>
      </w:r>
      <w:r>
        <w:rPr>
          <w:rFonts w:hint="eastAsia" w:ascii="宋体" w:hAnsi="宋体" w:eastAsia="宋体" w:cs="宋体"/>
          <w:spacing w:val="8"/>
          <w:sz w:val="21"/>
          <w:szCs w:val="21"/>
          <w:lang w:val="en-US" w:eastAsia="zh-CN"/>
        </w:rPr>
        <w:t xml:space="preserve">可向他人借用。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7）在竞赛过程中如发现问题（如设备故障等）， 选手应立即向现场裁判反映。得到同意后，选手退出到工作区外等候，等待故障处理完后方可继续比赛。如属于设备故障，补时时间为从选手示意到故障处理结束这段时间，否则不予补时。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8）比赛结束铃声响起后，选手应立即停止工作。未经裁判长允许，选手不得延长比赛时间。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9）评分期间，选手按裁判人员的指令要求操作设备，不允许更改、调整比赛设备及相关控制程序。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4.技术人员和工作人员要求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1）技术人员和工作人员在比赛进行过程中不得主动接触裁判员和选手。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2）技术人员和工作人员在竞赛区域内不得使用手机，照相机和摄像机等设备。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3）技术人员和工作人员按照要求，在规定位置就坐，进行自己的工作或者等待工作安排，不得擅自离开岗位。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4）技术人员和工作人员离开竞赛区域必须向项目经理报告并得到批准，进出竞赛区域必须进行登记。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5）技术人员按照选手的申请或者裁判长的安排，对现场设备进行维护或鉴定等工作。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6）技术人员进入选手工位工作时，选手除了必要的问题描述外，不得向技术人员询问其他问题，技术人员也不可随意与选手交流。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7）技术人员进行技术鉴定或者技术处理时，选手必须停止工作，按照裁判员的规定离开工位，等待技术人员处理完毕后， 由技术人员将处理结果通知给裁判员，由裁判员向选手告知处理结果。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5.项目特殊规定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1）选手携带的工具箱必须提前到位，在竞赛前一天进入赛场，并完全打开接受裁判员检查，凡是不符合安全规范的工具将会被禁止携带和使用。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2）选手在竞赛过程中，不得携带带有模具性质的制备件，或者具有明显得利的单一功能自制备件，也不得携带赛场已经明确提供的设备备件和材料备料。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3）在竞赛过程中，选手不得再将其他工具、材料、设备 和资料携带入竞赛区域，也不得接受未经裁判长许可的任何人从场外传递的任何物品，违反者将被取消当天评分子项的评分。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4）在竞赛过程中，选手不得进入其他选手工作区域，不得干扰或影响其他选手比赛，经过提示或警告仍不改正者，将取消该选手的竞赛成绩，禁止该选手继续比赛。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5）在竞赛过程中，因为选手个人原因（竞赛期间饮食、去卫生间、受伤处理等）造成的时间损耗，不对选手进行补时。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6）在竞赛期间，当竞赛赛场提供的设备损坏时，如果赛场有备用设备，将给选手进行更换；如果没有备用设备，则选手需要自行想办法解决问题。由于设备损坏造成的时间损失，不对选手进行补时。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7）当选手发现竞赛赛场提供的材料不足时，需要向现场裁判提出申请，由场地技术人员进行增补，增补材料不计入测评分。选手等待材料增补的时间，不对选手进行补时。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8）由于计算机蓝屏、死机或整个工作区掉电造成的时间损失，将对选手进行补时。但是由于任何原因造成的选手程序或软件成果丢失和损坏，后果由选手自行承担。 </w:t>
      </w:r>
    </w:p>
    <w:p>
      <w:pPr>
        <w:pStyle w:val="3"/>
        <w:bidi w:val="0"/>
        <w:rPr>
          <w:rFonts w:hint="eastAsia"/>
          <w:lang w:val="en-US" w:eastAsia="zh-CN"/>
        </w:rPr>
      </w:pPr>
      <w:r>
        <w:rPr>
          <w:rFonts w:hint="eastAsia"/>
          <w:lang w:val="en-US" w:eastAsia="zh-CN"/>
        </w:rPr>
        <w:t xml:space="preserve">（四）技术违规处理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1.不得携带其他未经组委会认可的设备、工具、机具、材料等参赛，不听劝告的取消比赛资格。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2.竞赛过程中，选手不得接受场外送进的材料、加工过的半成品等。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3.选手不得损坏、拆卸、改装赛场提供的设备、工具和工作台等设施。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4.选手不得在任何竞赛区域、位置、赛件上作任何涉嫌作弊的标记。如比赛开始前发现有明显痕迹，可上报裁判员进行处理，严重者可按作弊处理。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5.在完成竞赛任务的过程中，因操作不当导致事故，扣 10～20分，情况严重者取消比赛资格。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6.因违规操作损坏赛场提供的设备、污染赛场环境等不符合职业规范的行为，视情节扣 5-10 分。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7.扰乱赛场秩序，干扰裁判员工作，视情节扣 5-10 分，情况严重者取消比赛资格。 </w:t>
      </w:r>
    </w:p>
    <w:p>
      <w:pPr>
        <w:pStyle w:val="3"/>
        <w:bidi w:val="0"/>
        <w:rPr>
          <w:rFonts w:hint="eastAsia"/>
          <w:lang w:val="en-US" w:eastAsia="zh-CN"/>
        </w:rPr>
      </w:pPr>
      <w:r>
        <w:rPr>
          <w:rFonts w:hint="eastAsia"/>
          <w:lang w:val="en-US" w:eastAsia="zh-CN"/>
        </w:rPr>
        <w:t xml:space="preserve">（五）问题或争议处理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对竞赛期间出现的问题或争议按以下程序解决：</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1.竞赛项目内解决。参赛选手、裁判员发现竞赛过程中存在问题或争议，应向项目裁判长反映。项目裁判长依据相关规定处理或组织比赛现场裁判员研究解决。处理意见需比赛现场全体裁判员表决的，须获全体裁判员半数以上通过。最终处理意见应及时告知意见反映人，并填写《职业技能大赛问题或争议处理记录表》。 </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default" w:ascii="宋体" w:hAnsi="宋体" w:eastAsia="宋体" w:cs="宋体"/>
          <w:spacing w:val="8"/>
          <w:sz w:val="21"/>
          <w:szCs w:val="21"/>
          <w:lang w:val="en-US" w:eastAsia="zh-CN"/>
        </w:rPr>
      </w:pPr>
      <w:r>
        <w:rPr>
          <w:rFonts w:hint="eastAsia" w:ascii="宋体" w:hAnsi="宋体" w:eastAsia="宋体" w:cs="宋体"/>
          <w:spacing w:val="8"/>
          <w:sz w:val="21"/>
          <w:szCs w:val="21"/>
          <w:lang w:val="en-US" w:eastAsia="zh-CN"/>
        </w:rPr>
        <w:t xml:space="preserve">2.监督仲裁组解决。对项目内处理结果有异议的，在规定时间内，各参赛队领队可向监督仲裁组出具署名的书面反映材料并举证。 </w:t>
      </w:r>
    </w:p>
    <w:p>
      <w:pPr>
        <w:pStyle w:val="2"/>
        <w:bidi w:val="0"/>
      </w:pPr>
      <w:r>
        <w:t>四、竞赛场地、设施设备等安排</w:t>
      </w:r>
    </w:p>
    <w:p>
      <w:pPr>
        <w:pStyle w:val="3"/>
        <w:bidi w:val="0"/>
      </w:pPr>
      <w:bookmarkStart w:id="12" w:name="bookmark24"/>
      <w:bookmarkEnd w:id="12"/>
      <w:r>
        <w:t>（一）赛场规格要求</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本项目场地</w:t>
      </w:r>
      <w:r>
        <w:rPr>
          <w:rFonts w:hint="eastAsia" w:ascii="宋体" w:hAnsi="宋体" w:eastAsia="宋体" w:cs="宋体"/>
          <w:spacing w:val="8"/>
          <w:sz w:val="21"/>
          <w:szCs w:val="21"/>
          <w:lang w:val="en-US" w:eastAsia="zh-CN"/>
        </w:rPr>
        <w:t>介绍</w:t>
      </w:r>
      <w:r>
        <w:rPr>
          <w:rFonts w:hint="eastAsia" w:ascii="宋体" w:hAnsi="宋体" w:eastAsia="宋体" w:cs="宋体"/>
          <w:spacing w:val="8"/>
          <w:sz w:val="21"/>
          <w:szCs w:val="21"/>
        </w:rPr>
        <w:t>，继电控制线路设计与安装、调试工位数量为</w:t>
      </w:r>
      <w:r>
        <w:rPr>
          <w:rFonts w:hint="eastAsia" w:ascii="宋体" w:hAnsi="宋体" w:eastAsia="宋体" w:cs="宋体"/>
          <w:spacing w:val="8"/>
          <w:sz w:val="21"/>
          <w:szCs w:val="21"/>
          <w:lang w:val="en-US" w:eastAsia="zh-CN"/>
        </w:rPr>
        <w:t>15</w:t>
      </w:r>
      <w:r>
        <w:rPr>
          <w:rFonts w:hint="eastAsia" w:ascii="宋体" w:hAnsi="宋体" w:eastAsia="宋体" w:cs="宋体"/>
          <w:spacing w:val="8"/>
          <w:sz w:val="21"/>
          <w:szCs w:val="21"/>
        </w:rPr>
        <w:t>个，PLC电气控制系统编程与调试</w:t>
      </w:r>
      <w:r>
        <w:rPr>
          <w:rFonts w:hint="eastAsia" w:ascii="宋体" w:hAnsi="宋体" w:eastAsia="宋体" w:cs="宋体"/>
          <w:spacing w:val="8"/>
          <w:sz w:val="21"/>
          <w:szCs w:val="21"/>
          <w:lang w:val="en-US" w:eastAsia="zh-CN"/>
        </w:rPr>
        <w:t>15个工位。</w:t>
      </w:r>
    </w:p>
    <w:p>
      <w:pPr>
        <w:pStyle w:val="3"/>
        <w:bidi w:val="0"/>
      </w:pPr>
      <w:r>
        <w:t>（二）场地布局</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4" w:firstLineChars="200"/>
        <w:textAlignment w:val="auto"/>
        <w:rPr>
          <w:rFonts w:hint="eastAsia" w:ascii="宋体" w:hAnsi="宋体" w:eastAsia="宋体" w:cs="宋体"/>
          <w:b/>
          <w:bCs/>
          <w:spacing w:val="8"/>
          <w:sz w:val="21"/>
          <w:szCs w:val="21"/>
        </w:rPr>
      </w:pPr>
      <w:r>
        <w:rPr>
          <w:rFonts w:hint="eastAsia" w:ascii="宋体" w:hAnsi="宋体" w:eastAsia="宋体" w:cs="宋体"/>
          <w:b/>
          <w:bCs/>
          <w:spacing w:val="8"/>
          <w:sz w:val="21"/>
          <w:szCs w:val="21"/>
        </w:rPr>
        <w:t>注：场地布局图最终以确定工位后依实际布局为准。</w:t>
      </w:r>
    </w:p>
    <w:p>
      <w:pPr>
        <w:pStyle w:val="3"/>
        <w:bidi w:val="0"/>
      </w:pPr>
      <w:r>
        <w:t>（三）基础设施清单</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根据竞赛举办地的情况，赛场使用的设备和耗材可能与技术文件有出入，在正式竞赛前，设备和耗材的最终确认</w:t>
      </w:r>
      <w:r>
        <w:rPr>
          <w:rFonts w:hint="eastAsia" w:ascii="宋体" w:hAnsi="宋体" w:eastAsia="宋体" w:cs="宋体"/>
          <w:spacing w:val="8"/>
          <w:sz w:val="21"/>
          <w:szCs w:val="21"/>
          <w:lang w:val="en-US" w:eastAsia="zh-CN"/>
        </w:rPr>
        <w:t>以竞赛场地实际为主</w:t>
      </w:r>
      <w:r>
        <w:rPr>
          <w:rFonts w:hint="eastAsia" w:ascii="宋体" w:hAnsi="宋体" w:eastAsia="宋体" w:cs="宋体"/>
          <w:spacing w:val="8"/>
          <w:sz w:val="21"/>
          <w:szCs w:val="21"/>
        </w:rPr>
        <w:t>。</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1.竞赛设备及要求</w:t>
      </w:r>
    </w:p>
    <w:p>
      <w:pPr>
        <w:keepNext w:val="0"/>
        <w:keepLines w:val="0"/>
        <w:pageBreakBefore w:val="0"/>
        <w:widowControl w:val="0"/>
        <w:kinsoku/>
        <w:wordWrap/>
        <w:overflowPunct/>
        <w:topLinePunct w:val="0"/>
        <w:autoSpaceDE/>
        <w:autoSpaceDN/>
        <w:bidi w:val="0"/>
        <w:adjustRightInd/>
        <w:snapToGrid/>
        <w:spacing w:before="40" w:line="54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rPr>
        <w:t>根据专家组对核心技能的要求以及命题的需要， 比赛设备应由 PLC电气控制实训平台、 电力拖动实训平台等组成。所有参赛选手统一使用大赛提供的设备平台。统一使用大赛主办方提供的电脑。竞赛材料由赛场统一提供，供选手使用。具体竞赛设备清单和材料清单见表</w:t>
      </w:r>
      <w:r>
        <w:rPr>
          <w:rFonts w:hint="eastAsia" w:ascii="宋体" w:hAnsi="宋体" w:eastAsia="宋体" w:cs="宋体"/>
          <w:spacing w:val="8"/>
          <w:sz w:val="21"/>
          <w:szCs w:val="21"/>
          <w:lang w:val="en-US" w:eastAsia="zh-CN"/>
        </w:rPr>
        <w:t>6</w:t>
      </w:r>
      <w:r>
        <w:rPr>
          <w:rFonts w:hint="eastAsia" w:ascii="宋体" w:hAnsi="宋体" w:eastAsia="宋体" w:cs="宋体"/>
          <w:spacing w:val="8"/>
          <w:sz w:val="21"/>
          <w:szCs w:val="21"/>
        </w:rPr>
        <w:t>-表</w:t>
      </w:r>
      <w:r>
        <w:rPr>
          <w:rFonts w:hint="eastAsia" w:ascii="宋体" w:hAnsi="宋体" w:eastAsia="宋体" w:cs="宋体"/>
          <w:spacing w:val="8"/>
          <w:sz w:val="21"/>
          <w:szCs w:val="21"/>
          <w:lang w:val="en-US" w:eastAsia="zh-CN"/>
        </w:rPr>
        <w:t>8</w:t>
      </w:r>
      <w:r>
        <w:rPr>
          <w:rFonts w:hint="eastAsia" w:ascii="宋体" w:hAnsi="宋体" w:eastAsia="宋体" w:cs="宋体"/>
          <w:spacing w:val="8"/>
          <w:sz w:val="21"/>
          <w:szCs w:val="21"/>
        </w:rPr>
        <w:t>。</w:t>
      </w:r>
    </w:p>
    <w:p>
      <w:pPr>
        <w:pStyle w:val="3"/>
        <w:keepNext/>
        <w:keepLines/>
        <w:pageBreakBefore w:val="0"/>
        <w:widowControl w:val="0"/>
        <w:kinsoku/>
        <w:wordWrap/>
        <w:overflowPunct/>
        <w:topLinePunct w:val="0"/>
        <w:autoSpaceDE/>
        <w:autoSpaceDN/>
        <w:bidi w:val="0"/>
        <w:adjustRightInd/>
        <w:snapToGrid/>
        <w:spacing w:after="157" w:afterLines="50"/>
        <w:ind w:left="0" w:leftChars="0" w:firstLine="0" w:firstLineChars="0"/>
        <w:jc w:val="both"/>
        <w:textAlignment w:val="auto"/>
        <w:rPr>
          <w:rFonts w:hint="eastAsia" w:ascii="宋体" w:hAnsi="宋体" w:eastAsia="宋体" w:cs="宋体"/>
          <w:b w:val="0"/>
          <w:bCs w:val="0"/>
          <w:sz w:val="21"/>
          <w:szCs w:val="21"/>
          <w:lang w:val="en-US" w:eastAsia="zh-CN"/>
        </w:rPr>
      </w:pPr>
    </w:p>
    <w:p>
      <w:pPr>
        <w:pStyle w:val="3"/>
        <w:keepNext/>
        <w:keepLines/>
        <w:pageBreakBefore w:val="0"/>
        <w:widowControl w:val="0"/>
        <w:kinsoku/>
        <w:wordWrap/>
        <w:overflowPunct/>
        <w:topLinePunct w:val="0"/>
        <w:autoSpaceDE/>
        <w:autoSpaceDN/>
        <w:bidi w:val="0"/>
        <w:adjustRightInd/>
        <w:snapToGrid/>
        <w:spacing w:after="157" w:afterLines="50"/>
        <w:ind w:left="0" w:leftChars="0" w:firstLine="0" w:firstLineChars="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表6 </w:t>
      </w:r>
      <w:r>
        <w:rPr>
          <w:rFonts w:hint="eastAsia" w:ascii="宋体" w:hAnsi="宋体" w:eastAsia="宋体" w:cs="宋体"/>
          <w:b w:val="0"/>
          <w:bCs w:val="0"/>
          <w:sz w:val="21"/>
          <w:szCs w:val="21"/>
        </w:rPr>
        <w:t>PLC电气控制系统编程与调试主要竞赛设备清单</w:t>
      </w:r>
    </w:p>
    <w:tbl>
      <w:tblPr>
        <w:tblStyle w:val="19"/>
        <w:tblW w:w="9078"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9"/>
        <w:gridCol w:w="2054"/>
        <w:gridCol w:w="4249"/>
        <w:gridCol w:w="691"/>
        <w:gridCol w:w="607"/>
        <w:gridCol w:w="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5" w:hRule="atLeast"/>
        </w:trPr>
        <w:tc>
          <w:tcPr>
            <w:tcW w:w="739"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054"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配置名称</w:t>
            </w:r>
          </w:p>
        </w:tc>
        <w:tc>
          <w:tcPr>
            <w:tcW w:w="4249"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规格型号</w:t>
            </w:r>
          </w:p>
        </w:tc>
        <w:tc>
          <w:tcPr>
            <w:tcW w:w="691"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单位</w:t>
            </w:r>
          </w:p>
        </w:tc>
        <w:tc>
          <w:tcPr>
            <w:tcW w:w="607"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738" w:type="dxa"/>
            <w:tcBorders>
              <w:top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主体平台</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整体尺寸：W800*D850*H1700mm</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网孔板尺寸：W718*D40*H1490mm</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套</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电源模块</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直流电源输出：DC24V/6.5A</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两组交流电源输出：AC380V、AC220V</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套</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5"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PLC 模块</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SIMATIC S7-1200 小型可编程控制器</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74"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触摸屏模块</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zh-CN" w:eastAsia="zh-CN"/>
              </w:rPr>
              <w:t>西门子SIMA</w:t>
            </w:r>
            <w:r>
              <w:rPr>
                <w:rFonts w:hint="eastAsia" w:ascii="宋体" w:hAnsi="宋体" w:eastAsia="宋体" w:cs="宋体"/>
                <w:b w:val="0"/>
                <w:bCs w:val="0"/>
                <w:spacing w:val="-6"/>
                <w:sz w:val="21"/>
                <w:szCs w:val="21"/>
                <w:lang w:val="en-US" w:eastAsia="zh-CN"/>
              </w:rPr>
              <w:t>T</w:t>
            </w:r>
            <w:r>
              <w:rPr>
                <w:rFonts w:hint="eastAsia" w:ascii="宋体" w:hAnsi="宋体" w:eastAsia="宋体" w:cs="宋体"/>
                <w:b w:val="0"/>
                <w:bCs w:val="0"/>
                <w:spacing w:val="-6"/>
                <w:sz w:val="21"/>
                <w:szCs w:val="21"/>
                <w:lang w:val="zh-CN" w:eastAsia="zh-CN"/>
              </w:rPr>
              <w:t>IC精简系列触摸屏，</w:t>
            </w:r>
            <w:r>
              <w:rPr>
                <w:rFonts w:hint="eastAsia" w:ascii="宋体" w:hAnsi="宋体" w:eastAsia="宋体" w:cs="宋体"/>
                <w:b w:val="0"/>
                <w:bCs w:val="0"/>
                <w:spacing w:val="-6"/>
                <w:sz w:val="21"/>
                <w:szCs w:val="21"/>
                <w:lang w:val="en-US" w:eastAsia="zh-CN"/>
              </w:rPr>
              <w:t>型号：KTP700 Basic</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37"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变频器模块</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SINAMICS G120</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4"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步进电机</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步进电机1台：步距角1.8°，额定电流3A；型号TYPE:57BYG250B-8；</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0" w:hRule="atLeast"/>
        </w:trPr>
        <w:tc>
          <w:tcPr>
            <w:tcW w:w="739"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205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交流伺服电机</w:t>
            </w:r>
          </w:p>
        </w:tc>
        <w:tc>
          <w:tcPr>
            <w:tcW w:w="42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功率400W，额定转速3000r/min；</w:t>
            </w:r>
          </w:p>
        </w:tc>
        <w:tc>
          <w:tcPr>
            <w:tcW w:w="69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6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38"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pStyle w:val="3"/>
        <w:keepNext/>
        <w:keepLines/>
        <w:pageBreakBefore w:val="0"/>
        <w:widowControl w:val="0"/>
        <w:kinsoku/>
        <w:wordWrap/>
        <w:overflowPunct/>
        <w:topLinePunct w:val="0"/>
        <w:autoSpaceDE/>
        <w:autoSpaceDN/>
        <w:bidi w:val="0"/>
        <w:adjustRightInd/>
        <w:snapToGrid/>
        <w:spacing w:before="313" w:beforeLines="100" w:after="157" w:afterLines="50"/>
        <w:ind w:firstLine="880"/>
        <w:jc w:val="center"/>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表7 继电控制线路设计与安装、 调试材料清单</w:t>
      </w:r>
    </w:p>
    <w:tbl>
      <w:tblPr>
        <w:tblStyle w:val="19"/>
        <w:tblW w:w="9113"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2460"/>
        <w:gridCol w:w="3675"/>
        <w:gridCol w:w="674"/>
        <w:gridCol w:w="472"/>
        <w:gridCol w:w="522"/>
        <w:gridCol w:w="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587"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46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配置名称</w:t>
            </w:r>
          </w:p>
        </w:tc>
        <w:tc>
          <w:tcPr>
            <w:tcW w:w="3675"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规格型号</w:t>
            </w:r>
          </w:p>
        </w:tc>
        <w:tc>
          <w:tcPr>
            <w:tcW w:w="674"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品牌</w:t>
            </w:r>
          </w:p>
        </w:tc>
        <w:tc>
          <w:tcPr>
            <w:tcW w:w="472"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单位</w:t>
            </w:r>
          </w:p>
        </w:tc>
        <w:tc>
          <w:tcPr>
            <w:tcW w:w="522"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723" w:type="dxa"/>
            <w:tcBorders>
              <w:top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剩余电流动作断路器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NB1LE-40 3P+N C16</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小型断路器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NB1-63 3P C16</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交流接触器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CJX2-1210 220V</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辅助触头</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F4-22</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中间继电器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JZC1-44 AC220V</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熔体</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RT28-32/4A</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熔断器座</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RT28N-32 32A</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34"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8</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时间继电器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JSZ3A-B（通电延时0.1s-6m) AC220V</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7"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9</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时间继电器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JSZ3C-B（瞬动型通电延时 0.1s-6m) AC220V</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时间继电器座</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PF083-A /8T 圆孔</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12"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11</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热过载继电器</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NR4-63/1.6-2.5A</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7"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行程开关</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LXK3-20S/B 不带锁 单轮</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6"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13</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行程开关</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LXK3-20S/BH 带锁 单轮</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8"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14</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自复平头按钮</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NP2-BA45 孔径Ф22 1常开1 常闭 红色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5"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自复平头按钮</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NP2-BA35 孔径Ф22 1常开1 常闭 绿色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6"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16</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自复平头按钮</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NP2-BA55 孔径Ф22 1常开 1常闭 黄色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8"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17</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1位蘑菇头式按钮</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NPH1-1006</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18</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位按钮盒</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NPH1-10 浅灰色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19</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位按钮盒</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NPH1-20 浅灰色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20</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   位按钮盒</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NPH1-30 浅灰色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3" w:hRule="atLeast"/>
        </w:trPr>
        <w:tc>
          <w:tcPr>
            <w:tcW w:w="587"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21</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信号指示灯</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ND16-22DS/4AC220V绿色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3"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22</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信号指示灯</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ND16-22DS/4 AC220V黄色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753"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23</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信号指示灯</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ND16-22DS/4 AC220V 红色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53"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24</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旋钮式开关</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NP2-BD25 孔径Ф22 1常开1 常闭</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正泰</w:t>
            </w: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8"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25</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桥堆</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KBPC5010 50A/10W</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26</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管式电阻</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RX20-50W100 Ω ±5%</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27</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接线端子</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SUK-2.5X 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28</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端子隔板</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JCUK-DB 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29</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端子固定器</w:t>
            </w:r>
          </w:p>
        </w:tc>
        <w:tc>
          <w:tcPr>
            <w:tcW w:w="367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SUK-2G2 灰色</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30</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MBKKB-2.5识别条</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ZB5 1-10</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8"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31</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MBKKB-2.5识别条</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ZB5 11-20</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32</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MBKKB-2.5识别条</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ZB5 21-30</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33</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MBKKB-2.5识别条</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ZB5 31-40</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34</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元器件收纳盒</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456"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35</w:t>
            </w:r>
          </w:p>
        </w:tc>
        <w:tc>
          <w:tcPr>
            <w:tcW w:w="24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工具箱</w:t>
            </w:r>
          </w:p>
        </w:tc>
        <w:tc>
          <w:tcPr>
            <w:tcW w:w="3675"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821552-6 类型 4</w:t>
            </w:r>
          </w:p>
        </w:tc>
        <w:tc>
          <w:tcPr>
            <w:tcW w:w="67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47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52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72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spacing w:before="80" w:line="211" w:lineRule="auto"/>
        <w:jc w:val="both"/>
        <w:rPr>
          <w:rFonts w:hint="eastAsia" w:ascii="仿宋" w:hAnsi="仿宋" w:eastAsia="仿宋" w:cs="仿宋"/>
          <w:spacing w:val="-5"/>
          <w:sz w:val="30"/>
          <w:szCs w:val="30"/>
          <w:lang w:val="en-US" w:eastAsia="zh-CN"/>
        </w:rPr>
      </w:pPr>
    </w:p>
    <w:p>
      <w:pPr>
        <w:spacing w:before="80" w:line="211" w:lineRule="auto"/>
        <w:ind w:left="0" w:leftChars="0" w:firstLine="0" w:firstLineChars="0"/>
        <w:jc w:val="both"/>
        <w:rPr>
          <w:rFonts w:hint="eastAsia" w:ascii="仿宋" w:hAnsi="仿宋" w:eastAsia="仿宋" w:cs="仿宋"/>
          <w:spacing w:val="-5"/>
          <w:sz w:val="30"/>
          <w:szCs w:val="30"/>
          <w:lang w:val="en-US" w:eastAsia="zh-CN"/>
        </w:rPr>
      </w:pPr>
    </w:p>
    <w:p>
      <w:pPr>
        <w:pStyle w:val="3"/>
        <w:bidi w:val="0"/>
        <w:ind w:firstLine="88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 xml:space="preserve">表8 </w:t>
      </w:r>
      <w:r>
        <w:rPr>
          <w:rFonts w:hint="eastAsia" w:ascii="宋体" w:hAnsi="宋体" w:eastAsia="宋体" w:cs="宋体"/>
          <w:b w:val="0"/>
          <w:bCs w:val="0"/>
          <w:sz w:val="21"/>
          <w:szCs w:val="21"/>
        </w:rPr>
        <w:t>设备耗材清单</w:t>
      </w:r>
    </w:p>
    <w:tbl>
      <w:tblPr>
        <w:tblStyle w:val="19"/>
        <w:tblW w:w="916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87"/>
        <w:gridCol w:w="2800"/>
        <w:gridCol w:w="2633"/>
        <w:gridCol w:w="704"/>
        <w:gridCol w:w="876"/>
        <w:gridCol w:w="708"/>
        <w:gridCol w:w="8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587"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80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配置名称</w:t>
            </w:r>
          </w:p>
        </w:tc>
        <w:tc>
          <w:tcPr>
            <w:tcW w:w="2633"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规格型号</w:t>
            </w:r>
          </w:p>
        </w:tc>
        <w:tc>
          <w:tcPr>
            <w:tcW w:w="704"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品牌</w:t>
            </w:r>
          </w:p>
        </w:tc>
        <w:tc>
          <w:tcPr>
            <w:tcW w:w="876"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单位</w:t>
            </w:r>
          </w:p>
        </w:tc>
        <w:tc>
          <w:tcPr>
            <w:tcW w:w="708"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861" w:type="dxa"/>
            <w:tcBorders>
              <w:top w:val="single" w:color="000000" w:sz="10" w:space="0"/>
              <w:bottom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70"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PVC 锯齿线槽</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25*50mm 白色 2米</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条</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861" w:type="dxa"/>
            <w:vMerge w:val="restart"/>
            <w:tcBorders>
              <w:top w:val="single" w:color="000000" w:sz="10" w:space="0"/>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1个工 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1"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PVC 号码管</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0.75mm2 、1mm2</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861" w:type="dxa"/>
            <w:vMerge w:val="continue"/>
            <w:tcBorders>
              <w:top w:val="nil"/>
              <w:bottom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1"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bookmarkStart w:id="13" w:name="bookmark25"/>
            <w:bookmarkEnd w:id="13"/>
            <w:r>
              <w:rPr>
                <w:rFonts w:hint="eastAsia" w:ascii="宋体" w:hAnsi="宋体" w:eastAsia="宋体" w:cs="宋体"/>
                <w:b w:val="0"/>
                <w:bCs w:val="0"/>
                <w:spacing w:val="-6"/>
                <w:sz w:val="21"/>
                <w:szCs w:val="21"/>
                <w:lang w:val="en-US" w:eastAsia="zh-CN"/>
              </w:rPr>
              <w:t>通用 C45 铝导轨</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35*7.5*1.1mm 1 米</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861" w:type="dxa"/>
            <w:vMerge w:val="restart"/>
            <w:tcBorders>
              <w:top w:val="single" w:color="000000" w:sz="10" w:space="0"/>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0.75mm2    黑色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49"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1.0mm2    黄绿色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1.0mm2    蓝色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1.0mm2 红色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8</w:t>
            </w:r>
          </w:p>
        </w:tc>
        <w:tc>
          <w:tcPr>
            <w:tcW w:w="280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多股软线</w:t>
            </w:r>
          </w:p>
        </w:tc>
        <w:tc>
          <w:tcPr>
            <w:tcW w:w="2633"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RV 0.75mm2 红色</w:t>
            </w:r>
          </w:p>
        </w:tc>
        <w:tc>
          <w:tcPr>
            <w:tcW w:w="704"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米</w:t>
            </w:r>
          </w:p>
        </w:tc>
        <w:tc>
          <w:tcPr>
            <w:tcW w:w="708"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9</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1.0mm2    黄色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3"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10</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多股软线</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RV 1.0mm2    绿色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米</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75"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11</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管形预绝缘端头</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E1008 红色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2"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12</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管形预绝缘端头</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E1008 黑色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13</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管形预绝缘端头</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E0508 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14</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管形预绝缘端头</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E0508 蓝</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15</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冷压接线鼻子</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OT1.5-4 圆形裸端头</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16</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插簧</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Φ6.3</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17</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插簧套</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6.3</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18</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扎带</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3*150mm 白色</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条</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8"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19</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十字槽圆头带垫 螺钉</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M4*12 不锈钢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20</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十字槽盘头螺钉</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M4*20 不锈钢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21</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十字槽盘头螺钉</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M4*45 不锈钢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4" w:hRule="atLeast"/>
        </w:trPr>
        <w:tc>
          <w:tcPr>
            <w:tcW w:w="587" w:type="dxa"/>
            <w:tcBorders>
              <w:left w:val="single" w:color="000000" w:sz="10" w:space="0"/>
            </w:tcBorders>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22</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型六角螺母</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M4 不锈钢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64" w:hRule="atLeast"/>
        </w:trPr>
        <w:tc>
          <w:tcPr>
            <w:tcW w:w="58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23</w:t>
            </w:r>
          </w:p>
        </w:tc>
        <w:tc>
          <w:tcPr>
            <w:tcW w:w="280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轻型弹簧垫圈</w:t>
            </w:r>
          </w:p>
        </w:tc>
        <w:tc>
          <w:tcPr>
            <w:tcW w:w="263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Ф4.1mm 不锈钢</w:t>
            </w:r>
          </w:p>
        </w:tc>
        <w:tc>
          <w:tcPr>
            <w:tcW w:w="70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nil"/>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587" w:type="dxa"/>
            <w:tcBorders>
              <w:left w:val="single" w:color="000000" w:sz="10" w:space="0"/>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24</w:t>
            </w:r>
          </w:p>
        </w:tc>
        <w:tc>
          <w:tcPr>
            <w:tcW w:w="2800"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A 级平垫圈</w:t>
            </w:r>
          </w:p>
        </w:tc>
        <w:tc>
          <w:tcPr>
            <w:tcW w:w="2633"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4*9*0.8mm 201 不锈钢</w:t>
            </w:r>
          </w:p>
        </w:tc>
        <w:tc>
          <w:tcPr>
            <w:tcW w:w="704"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876"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08"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100</w:t>
            </w:r>
          </w:p>
        </w:tc>
        <w:tc>
          <w:tcPr>
            <w:tcW w:w="861" w:type="dxa"/>
            <w:vMerge w:val="continue"/>
            <w:tcBorders>
              <w:top w:val="nil"/>
              <w:bottom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40" w:line="560" w:lineRule="exact"/>
        <w:ind w:left="0" w:leftChars="0"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2.竞赛用工具仪器</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竞赛用工具、仪器及仪表部分由赛场准备，部分由参赛队自带。具体清单如表</w:t>
      </w:r>
      <w:r>
        <w:rPr>
          <w:rFonts w:hint="eastAsia" w:ascii="宋体" w:hAnsi="宋体" w:eastAsia="宋体" w:cs="宋体"/>
          <w:spacing w:val="8"/>
          <w:sz w:val="21"/>
          <w:szCs w:val="21"/>
          <w:lang w:val="en-US" w:eastAsia="zh-CN"/>
        </w:rPr>
        <w:t>9</w:t>
      </w:r>
      <w:r>
        <w:rPr>
          <w:rFonts w:hint="eastAsia" w:ascii="宋体" w:hAnsi="宋体" w:eastAsia="宋体" w:cs="宋体"/>
          <w:spacing w:val="8"/>
          <w:sz w:val="21"/>
          <w:szCs w:val="21"/>
        </w:rPr>
        <w:t>。</w:t>
      </w:r>
    </w:p>
    <w:p>
      <w:pPr>
        <w:pStyle w:val="3"/>
        <w:keepNext/>
        <w:keepLines/>
        <w:pageBreakBefore w:val="0"/>
        <w:widowControl w:val="0"/>
        <w:kinsoku/>
        <w:wordWrap/>
        <w:overflowPunct/>
        <w:topLinePunct w:val="0"/>
        <w:autoSpaceDE/>
        <w:autoSpaceDN/>
        <w:bidi w:val="0"/>
        <w:adjustRightInd/>
        <w:snapToGrid/>
        <w:spacing w:before="0" w:line="240" w:lineRule="atLeast"/>
        <w:ind w:firstLine="880"/>
        <w:jc w:val="center"/>
        <w:textAlignment w:val="auto"/>
        <w:rPr>
          <w:rFonts w:hint="eastAsia" w:ascii="宋体" w:hAnsi="宋体" w:eastAsia="宋体" w:cs="宋体"/>
          <w:spacing w:val="-8"/>
          <w:sz w:val="21"/>
          <w:szCs w:val="21"/>
        </w:rPr>
      </w:pPr>
      <w:r>
        <w:rPr>
          <w:rFonts w:ascii="仿宋" w:hAnsi="仿宋" w:eastAsia="仿宋" w:cs="仿宋"/>
          <w:spacing w:val="-8"/>
          <w:sz w:val="31"/>
          <w:szCs w:val="31"/>
        </w:rPr>
        <w:br w:type="page"/>
      </w:r>
      <w:r>
        <w:rPr>
          <w:rFonts w:hint="eastAsia" w:ascii="宋体" w:hAnsi="宋体" w:eastAsia="宋体" w:cs="宋体"/>
          <w:b w:val="0"/>
          <w:bCs w:val="0"/>
          <w:sz w:val="21"/>
          <w:szCs w:val="21"/>
          <w:lang w:val="en-US" w:eastAsia="zh-CN"/>
        </w:rPr>
        <w:t>表9参赛选手需要自带的工具清单</w:t>
      </w:r>
    </w:p>
    <w:tbl>
      <w:tblPr>
        <w:tblStyle w:val="19"/>
        <w:tblpPr w:leftFromText="180" w:rightFromText="180" w:vertAnchor="text" w:horzAnchor="page" w:tblpXSpec="center" w:tblpY="595"/>
        <w:tblOverlap w:val="never"/>
        <w:tblW w:w="863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7"/>
        <w:gridCol w:w="2079"/>
        <w:gridCol w:w="3112"/>
        <w:gridCol w:w="720"/>
        <w:gridCol w:w="734"/>
        <w:gridCol w:w="9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 w:hRule="atLeast"/>
          <w:jc w:val="center"/>
        </w:trPr>
        <w:tc>
          <w:tcPr>
            <w:tcW w:w="1037"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079"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配置名称</w:t>
            </w:r>
          </w:p>
        </w:tc>
        <w:tc>
          <w:tcPr>
            <w:tcW w:w="3112"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规格型号(供参考）</w:t>
            </w:r>
          </w:p>
        </w:tc>
        <w:tc>
          <w:tcPr>
            <w:tcW w:w="72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单位</w:t>
            </w:r>
          </w:p>
        </w:tc>
        <w:tc>
          <w:tcPr>
            <w:tcW w:w="734"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955" w:type="dxa"/>
            <w:tcBorders>
              <w:top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欧式管型压线钳</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0.25-6mm2</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螺丝刀</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十字 PH2*100 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0"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螺丝刀</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PH0*75 强力型十字</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螺丝刀</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5*75 强力型一字</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32"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手动螺丝刀套件</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38PCS,H4*28mm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剥线钳</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150MM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5" w:hRule="atLeast"/>
          <w:jc w:val="center"/>
        </w:trPr>
        <w:tc>
          <w:tcPr>
            <w:tcW w:w="1037" w:type="dxa"/>
            <w:tcBorders>
              <w:left w:val="single" w:color="000000" w:sz="10" w:space="0"/>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2079"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不锈钢剪刀</w:t>
            </w:r>
          </w:p>
        </w:tc>
        <w:tc>
          <w:tcPr>
            <w:tcW w:w="3112"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NS-3</w:t>
            </w:r>
          </w:p>
        </w:tc>
        <w:tc>
          <w:tcPr>
            <w:tcW w:w="720"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bottom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2" w:hRule="atLeast"/>
          <w:jc w:val="center"/>
        </w:trPr>
        <w:tc>
          <w:tcPr>
            <w:tcW w:w="1037" w:type="dxa"/>
            <w:tcBorders>
              <w:top w:val="single" w:color="000000" w:sz="10" w:space="0"/>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8</w:t>
            </w:r>
          </w:p>
        </w:tc>
        <w:tc>
          <w:tcPr>
            <w:tcW w:w="2079" w:type="dxa"/>
            <w:tcBorders>
              <w:top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卷尺</w:t>
            </w:r>
          </w:p>
        </w:tc>
        <w:tc>
          <w:tcPr>
            <w:tcW w:w="3112" w:type="dxa"/>
            <w:tcBorders>
              <w:top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 米</w:t>
            </w:r>
          </w:p>
        </w:tc>
        <w:tc>
          <w:tcPr>
            <w:tcW w:w="720" w:type="dxa"/>
            <w:tcBorders>
              <w:top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tcBorders>
              <w:top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top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9</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bookmarkStart w:id="14" w:name="bookmark26"/>
            <w:bookmarkEnd w:id="14"/>
            <w:r>
              <w:rPr>
                <w:rFonts w:hint="eastAsia" w:ascii="宋体" w:hAnsi="宋体" w:eastAsia="宋体" w:cs="宋体"/>
                <w:b w:val="0"/>
                <w:bCs w:val="0"/>
                <w:spacing w:val="-6"/>
                <w:sz w:val="21"/>
                <w:szCs w:val="21"/>
                <w:lang w:val="en-US" w:eastAsia="zh-CN"/>
              </w:rPr>
              <w:t>直角尺</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300*150mm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木工  45  ° 钢板尺</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120~200mm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34"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11</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斜口钳</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 寸</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手柄套筒</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13</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数字万用表</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UT139C</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14</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线号笔</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电工工具包</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个</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16</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塑柄调节式钢锯架</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10 寸-12寸 可调试 </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把</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49" w:hRule="atLeast"/>
          <w:jc w:val="center"/>
        </w:trPr>
        <w:tc>
          <w:tcPr>
            <w:tcW w:w="1037"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17</w:t>
            </w:r>
          </w:p>
        </w:tc>
        <w:tc>
          <w:tcPr>
            <w:tcW w:w="207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钢锯条 </w:t>
            </w:r>
          </w:p>
        </w:tc>
        <w:tc>
          <w:tcPr>
            <w:tcW w:w="3112"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18TPI ×12"/300mm</w:t>
            </w:r>
          </w:p>
        </w:tc>
        <w:tc>
          <w:tcPr>
            <w:tcW w:w="72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条</w:t>
            </w:r>
          </w:p>
        </w:tc>
        <w:tc>
          <w:tcPr>
            <w:tcW w:w="734"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955"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line="240" w:lineRule="atLeast"/>
        <w:ind w:right="0" w:rightChars="0" w:firstLine="452" w:firstLineChars="200"/>
        <w:textAlignment w:val="auto"/>
        <w:rPr>
          <w:rFonts w:hint="eastAsia" w:ascii="宋体" w:hAnsi="宋体" w:eastAsia="宋体" w:cs="宋体"/>
          <w:spacing w:val="8"/>
          <w:sz w:val="21"/>
          <w:szCs w:val="21"/>
          <w:lang w:eastAsia="zh-CN"/>
        </w:rPr>
      </w:pPr>
      <w:r>
        <w:rPr>
          <w:rFonts w:hint="eastAsia" w:ascii="宋体" w:hAnsi="宋体" w:eastAsia="宋体" w:cs="宋体"/>
          <w:spacing w:val="8"/>
          <w:sz w:val="21"/>
          <w:szCs w:val="21"/>
        </w:rPr>
        <w:t>3.每个比赛工位所需设施</w:t>
      </w:r>
      <w:r>
        <w:rPr>
          <w:rFonts w:hint="eastAsia" w:ascii="宋体" w:hAnsi="宋体" w:cs="宋体"/>
          <w:spacing w:val="8"/>
          <w:sz w:val="21"/>
          <w:szCs w:val="21"/>
          <w:lang w:eastAsia="zh-CN"/>
        </w:rPr>
        <w:t>（</w:t>
      </w:r>
      <w:r>
        <w:rPr>
          <w:rFonts w:hint="eastAsia" w:ascii="宋体" w:hAnsi="宋体" w:cs="宋体"/>
          <w:spacing w:val="8"/>
          <w:sz w:val="21"/>
          <w:szCs w:val="21"/>
          <w:lang w:val="en-US" w:eastAsia="zh-CN"/>
        </w:rPr>
        <w:t>仅参考</w:t>
      </w:r>
      <w:r>
        <w:rPr>
          <w:rFonts w:hint="eastAsia" w:ascii="宋体" w:hAnsi="宋体" w:cs="宋体"/>
          <w:spacing w:val="8"/>
          <w:sz w:val="21"/>
          <w:szCs w:val="21"/>
          <w:lang w:eastAsia="zh-CN"/>
        </w:rPr>
        <w:t>）</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rPr>
        <w:t>根据竞赛需要，每个比赛工位应配置如下设施</w:t>
      </w:r>
      <w:r>
        <w:rPr>
          <w:rFonts w:hint="eastAsia" w:ascii="宋体" w:hAnsi="宋体" w:eastAsia="宋体" w:cs="宋体"/>
          <w:spacing w:val="8"/>
          <w:sz w:val="21"/>
          <w:szCs w:val="21"/>
          <w:lang w:val="en-US" w:eastAsia="zh-CN"/>
        </w:rPr>
        <w:t>见表10</w:t>
      </w:r>
    </w:p>
    <w:p>
      <w:pPr>
        <w:pStyle w:val="3"/>
        <w:keepNext/>
        <w:keepLines/>
        <w:pageBreakBefore w:val="0"/>
        <w:widowControl w:val="0"/>
        <w:kinsoku/>
        <w:wordWrap/>
        <w:overflowPunct/>
        <w:topLinePunct w:val="0"/>
        <w:autoSpaceDE/>
        <w:autoSpaceDN/>
        <w:bidi w:val="0"/>
        <w:adjustRightInd/>
        <w:snapToGrid/>
        <w:spacing w:before="0" w:line="240" w:lineRule="atLeast"/>
        <w:ind w:firstLine="88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表10比赛工位所需设施</w:t>
      </w:r>
    </w:p>
    <w:tbl>
      <w:tblPr>
        <w:tblStyle w:val="19"/>
        <w:tblW w:w="8626" w:type="dxa"/>
        <w:tblInd w:w="3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0"/>
        <w:gridCol w:w="1880"/>
        <w:gridCol w:w="2853"/>
        <w:gridCol w:w="960"/>
        <w:gridCol w:w="22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0" w:hRule="atLeast"/>
        </w:trPr>
        <w:tc>
          <w:tcPr>
            <w:tcW w:w="720"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188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名  称</w:t>
            </w:r>
          </w:p>
        </w:tc>
        <w:tc>
          <w:tcPr>
            <w:tcW w:w="2853"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   格</w:t>
            </w:r>
          </w:p>
        </w:tc>
        <w:tc>
          <w:tcPr>
            <w:tcW w:w="96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2213" w:type="dxa"/>
            <w:tcBorders>
              <w:top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trPr>
        <w:tc>
          <w:tcPr>
            <w:tcW w:w="720"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188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台式电脑</w:t>
            </w:r>
          </w:p>
        </w:tc>
        <w:tc>
          <w:tcPr>
            <w:tcW w:w="285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i5以上 CPU，8G 内存，2G显 卡</w:t>
            </w:r>
          </w:p>
        </w:tc>
        <w:tc>
          <w:tcPr>
            <w:tcW w:w="9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套</w:t>
            </w:r>
          </w:p>
        </w:tc>
        <w:tc>
          <w:tcPr>
            <w:tcW w:w="221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7" w:hRule="atLeast"/>
        </w:trPr>
        <w:tc>
          <w:tcPr>
            <w:tcW w:w="720"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188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电脑桌</w:t>
            </w:r>
          </w:p>
        </w:tc>
        <w:tc>
          <w:tcPr>
            <w:tcW w:w="285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L600mm×W700mm×H780mm</w:t>
            </w:r>
          </w:p>
        </w:tc>
        <w:tc>
          <w:tcPr>
            <w:tcW w:w="9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套</w:t>
            </w:r>
          </w:p>
        </w:tc>
        <w:tc>
          <w:tcPr>
            <w:tcW w:w="221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3" w:hRule="atLeast"/>
        </w:trPr>
        <w:tc>
          <w:tcPr>
            <w:tcW w:w="720"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188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电源</w:t>
            </w:r>
          </w:p>
        </w:tc>
        <w:tc>
          <w:tcPr>
            <w:tcW w:w="285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输出:交流 380V，10A</w:t>
            </w:r>
          </w:p>
        </w:tc>
        <w:tc>
          <w:tcPr>
            <w:tcW w:w="96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个</w:t>
            </w:r>
          </w:p>
        </w:tc>
        <w:tc>
          <w:tcPr>
            <w:tcW w:w="2213" w:type="dxa"/>
            <w:tcBorders>
              <w:righ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带漏电保护并配 有1个 4P插座和1 个3P插座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720"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188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工作台</w:t>
            </w:r>
          </w:p>
        </w:tc>
        <w:tc>
          <w:tcPr>
            <w:tcW w:w="285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L1500mm×W700mm×H780mm</w:t>
            </w:r>
          </w:p>
        </w:tc>
        <w:tc>
          <w:tcPr>
            <w:tcW w:w="9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张</w:t>
            </w:r>
          </w:p>
        </w:tc>
        <w:tc>
          <w:tcPr>
            <w:tcW w:w="221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31" w:hRule="atLeast"/>
        </w:trPr>
        <w:tc>
          <w:tcPr>
            <w:tcW w:w="720" w:type="dxa"/>
            <w:tcBorders>
              <w:left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188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座椅</w:t>
            </w:r>
          </w:p>
        </w:tc>
        <w:tc>
          <w:tcPr>
            <w:tcW w:w="285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96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把</w:t>
            </w:r>
          </w:p>
        </w:tc>
        <w:tc>
          <w:tcPr>
            <w:tcW w:w="2213"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61" w:hRule="atLeast"/>
        </w:trPr>
        <w:tc>
          <w:tcPr>
            <w:tcW w:w="720" w:type="dxa"/>
            <w:tcBorders>
              <w:left w:val="single" w:color="000000" w:sz="10" w:space="0"/>
              <w:bottom w:val="single" w:color="000000" w:sz="10"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1880"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垃圾桶等 清洁工具</w:t>
            </w:r>
          </w:p>
        </w:tc>
        <w:tc>
          <w:tcPr>
            <w:tcW w:w="2853"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960"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套</w:t>
            </w:r>
          </w:p>
        </w:tc>
        <w:tc>
          <w:tcPr>
            <w:tcW w:w="2213" w:type="dxa"/>
            <w:tcBorders>
              <w:bottom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4.赛场辅助设施</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lang w:val="en-US" w:eastAsia="zh-CN"/>
        </w:rPr>
      </w:pPr>
      <w:r>
        <w:rPr>
          <w:rFonts w:hint="eastAsia" w:ascii="宋体" w:hAnsi="宋体" w:eastAsia="宋体" w:cs="宋体"/>
          <w:spacing w:val="8"/>
          <w:sz w:val="21"/>
          <w:szCs w:val="21"/>
        </w:rPr>
        <w:t>根据竞赛需要，赛场还需准备如下辅助设施</w:t>
      </w:r>
      <w:r>
        <w:rPr>
          <w:rFonts w:hint="eastAsia" w:ascii="宋体" w:hAnsi="宋体" w:eastAsia="宋体" w:cs="宋体"/>
          <w:spacing w:val="8"/>
          <w:sz w:val="21"/>
          <w:szCs w:val="21"/>
          <w:lang w:val="en-US" w:eastAsia="zh-CN"/>
        </w:rPr>
        <w:t>见表11。</w:t>
      </w:r>
    </w:p>
    <w:p>
      <w:pPr>
        <w:pStyle w:val="3"/>
        <w:keepNext/>
        <w:keepLines/>
        <w:pageBreakBefore w:val="0"/>
        <w:widowControl w:val="0"/>
        <w:kinsoku/>
        <w:wordWrap/>
        <w:overflowPunct/>
        <w:topLinePunct w:val="0"/>
        <w:autoSpaceDE/>
        <w:autoSpaceDN/>
        <w:bidi w:val="0"/>
        <w:adjustRightInd/>
        <w:snapToGrid/>
        <w:spacing w:before="313" w:beforeLines="100" w:after="157" w:afterLines="50"/>
        <w:ind w:firstLine="88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表11现场辅助设施工具清单</w:t>
      </w:r>
    </w:p>
    <w:tbl>
      <w:tblPr>
        <w:tblStyle w:val="19"/>
        <w:tblW w:w="8627" w:type="dxa"/>
        <w:tblInd w:w="3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2"/>
        <w:gridCol w:w="2108"/>
        <w:gridCol w:w="2970"/>
        <w:gridCol w:w="1003"/>
        <w:gridCol w:w="2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542" w:type="dxa"/>
            <w:tcBorders>
              <w:top w:val="single" w:color="000000" w:sz="10" w:space="0"/>
              <w:lef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108"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名  称</w:t>
            </w:r>
          </w:p>
        </w:tc>
        <w:tc>
          <w:tcPr>
            <w:tcW w:w="2970"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规   格</w:t>
            </w:r>
          </w:p>
        </w:tc>
        <w:tc>
          <w:tcPr>
            <w:tcW w:w="1003" w:type="dxa"/>
            <w:tcBorders>
              <w:top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数量</w:t>
            </w:r>
          </w:p>
        </w:tc>
        <w:tc>
          <w:tcPr>
            <w:tcW w:w="2004" w:type="dxa"/>
            <w:tcBorders>
              <w:top w:val="single" w:color="000000" w:sz="10" w:space="0"/>
              <w:right w:val="single" w:color="000000" w:sz="10" w:space="0"/>
            </w:tcBorders>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音响及扩音器</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能涵盖整个赛场</w:t>
            </w: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套</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2"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无线麦克风</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与音响配套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4"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bookmarkStart w:id="15" w:name="bookmark27"/>
            <w:bookmarkEnd w:id="15"/>
            <w:r>
              <w:rPr>
                <w:rFonts w:hint="eastAsia" w:ascii="宋体" w:hAnsi="宋体" w:eastAsia="宋体" w:cs="宋体"/>
                <w:b w:val="0"/>
                <w:bCs w:val="0"/>
                <w:spacing w:val="-6"/>
                <w:sz w:val="21"/>
                <w:szCs w:val="21"/>
                <w:lang w:val="en-US" w:eastAsia="zh-CN"/>
              </w:rPr>
              <w:t>口哨</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赛场时钟</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具有时/分/秒/毫秒计时</w:t>
            </w: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赛场都可见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计时秒表</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8 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打印机</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1台</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3"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打印纸</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A4</w:t>
            </w: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4包</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8</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打码机</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台</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打印号码管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9</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签字笔</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红、黑</w:t>
            </w: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各50个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磁图钉（磁扣）</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50 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11</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订书机及钉</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套</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评分夹</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35 个</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4"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13</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档案袋</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14</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安全标志</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8" w:hRule="atLeast"/>
        </w:trPr>
        <w:tc>
          <w:tcPr>
            <w:tcW w:w="542" w:type="dxa"/>
            <w:tcBorders>
              <w:lef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w:t>
            </w:r>
          </w:p>
        </w:tc>
        <w:tc>
          <w:tcPr>
            <w:tcW w:w="210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常用急救药盒</w:t>
            </w:r>
          </w:p>
        </w:tc>
        <w:tc>
          <w:tcPr>
            <w:tcW w:w="2970"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套</w:t>
            </w:r>
          </w:p>
        </w:tc>
        <w:tc>
          <w:tcPr>
            <w:tcW w:w="2004" w:type="dxa"/>
            <w:tcBorders>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常用药品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9" w:hRule="atLeast"/>
        </w:trPr>
        <w:tc>
          <w:tcPr>
            <w:tcW w:w="542" w:type="dxa"/>
            <w:tcBorders>
              <w:left w:val="single" w:color="000000" w:sz="10" w:space="0"/>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16</w:t>
            </w:r>
          </w:p>
        </w:tc>
        <w:tc>
          <w:tcPr>
            <w:tcW w:w="2108"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灭火器</w:t>
            </w:r>
          </w:p>
        </w:tc>
        <w:tc>
          <w:tcPr>
            <w:tcW w:w="2970"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03" w:type="dxa"/>
            <w:tcBorders>
              <w:bottom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若干</w:t>
            </w:r>
          </w:p>
        </w:tc>
        <w:tc>
          <w:tcPr>
            <w:tcW w:w="2004" w:type="dxa"/>
            <w:tcBorders>
              <w:bottom w:val="single" w:color="000000" w:sz="10" w:space="0"/>
              <w:right w:val="single" w:color="000000" w:sz="10" w:space="0"/>
            </w:tcBorders>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根据赛场布 置</w:t>
            </w:r>
          </w:p>
        </w:tc>
      </w:tr>
    </w:tbl>
    <w:p>
      <w:pPr>
        <w:pStyle w:val="2"/>
        <w:keepNext/>
        <w:keepLines/>
        <w:pageBreakBefore w:val="0"/>
        <w:widowControl w:val="0"/>
        <w:kinsoku/>
        <w:wordWrap/>
        <w:overflowPunct/>
        <w:topLinePunct w:val="0"/>
        <w:autoSpaceDE/>
        <w:autoSpaceDN/>
        <w:bidi w:val="0"/>
        <w:adjustRightInd/>
        <w:snapToGrid/>
        <w:spacing w:line="360" w:lineRule="auto"/>
        <w:textAlignment w:val="auto"/>
      </w:pPr>
      <w:r>
        <w:t>五、安全、健康要求</w:t>
      </w:r>
    </w:p>
    <w:p>
      <w:pPr>
        <w:pStyle w:val="3"/>
        <w:bidi w:val="0"/>
      </w:pPr>
      <w:r>
        <w:t>（一）选手需自备的防护装备</w:t>
      </w:r>
    </w:p>
    <w:p>
      <w:pPr>
        <w:keepNext w:val="0"/>
        <w:keepLines w:val="0"/>
        <w:pageBreakBefore w:val="0"/>
        <w:widowControl w:val="0"/>
        <w:kinsoku/>
        <w:wordWrap/>
        <w:overflowPunct/>
        <w:topLinePunct w:val="0"/>
        <w:autoSpaceDE/>
        <w:autoSpaceDN/>
        <w:bidi w:val="0"/>
        <w:adjustRightInd/>
        <w:snapToGrid/>
        <w:spacing w:before="40" w:after="157" w:afterLines="5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竞赛的安全目标——事故为零，参赛选手必须按照规定穿戴防护装备，具体见表</w:t>
      </w:r>
      <w:r>
        <w:rPr>
          <w:rFonts w:hint="eastAsia" w:ascii="宋体" w:hAnsi="宋体" w:eastAsia="宋体" w:cs="宋体"/>
          <w:spacing w:val="8"/>
          <w:sz w:val="21"/>
          <w:szCs w:val="21"/>
          <w:lang w:val="en-US" w:eastAsia="zh-CN"/>
        </w:rPr>
        <w:t>12</w:t>
      </w:r>
      <w:r>
        <w:rPr>
          <w:rFonts w:hint="eastAsia" w:ascii="宋体" w:hAnsi="宋体" w:eastAsia="宋体" w:cs="宋体"/>
          <w:spacing w:val="8"/>
          <w:sz w:val="21"/>
          <w:szCs w:val="21"/>
        </w:rPr>
        <w:t>。选手不穿电工鞋不得进入竞赛区域，不配备其他防护装备，不得进行相关操作。任何时候，参赛选手不得带电修改电气线路。</w:t>
      </w:r>
    </w:p>
    <w:p>
      <w:pPr>
        <w:keepNext w:val="0"/>
        <w:keepLines w:val="0"/>
        <w:pageBreakBefore w:val="0"/>
        <w:widowControl w:val="0"/>
        <w:kinsoku/>
        <w:wordWrap/>
        <w:overflowPunct/>
        <w:topLinePunct w:val="0"/>
        <w:autoSpaceDE/>
        <w:autoSpaceDN/>
        <w:bidi w:val="0"/>
        <w:adjustRightInd/>
        <w:snapToGrid/>
        <w:spacing w:before="40" w:after="157" w:afterLines="50" w:line="560" w:lineRule="exact"/>
        <w:ind w:right="0" w:rightChars="0" w:firstLine="452" w:firstLineChars="200"/>
        <w:textAlignment w:val="auto"/>
        <w:rPr>
          <w:rFonts w:hint="eastAsia" w:ascii="宋体" w:hAnsi="宋体" w:eastAsia="宋体" w:cs="宋体"/>
          <w:spacing w:val="8"/>
          <w:sz w:val="21"/>
          <w:szCs w:val="21"/>
        </w:rPr>
      </w:pPr>
    </w:p>
    <w:p>
      <w:pPr>
        <w:pStyle w:val="3"/>
        <w:bidi w:val="0"/>
        <w:ind w:firstLine="880"/>
        <w:jc w:val="center"/>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表12 选手必备的防护装备清单</w:t>
      </w:r>
    </w:p>
    <w:tbl>
      <w:tblPr>
        <w:tblStyle w:val="19"/>
        <w:tblW w:w="8697" w:type="dxa"/>
        <w:tblInd w:w="33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9"/>
        <w:gridCol w:w="1949"/>
        <w:gridCol w:w="2498"/>
        <w:gridCol w:w="3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1" w:hRule="atLeast"/>
        </w:trPr>
        <w:tc>
          <w:tcPr>
            <w:tcW w:w="809"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1949"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防护项目</w:t>
            </w:r>
          </w:p>
        </w:tc>
        <w:tc>
          <w:tcPr>
            <w:tcW w:w="2498"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图示</w:t>
            </w:r>
          </w:p>
        </w:tc>
        <w:tc>
          <w:tcPr>
            <w:tcW w:w="3441"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243"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头部的防护</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4384" behindDoc="1" locked="0" layoutInCell="1" allowOverlap="1">
                  <wp:simplePos x="0" y="0"/>
                  <wp:positionH relativeFrom="column">
                    <wp:posOffset>309880</wp:posOffset>
                  </wp:positionH>
                  <wp:positionV relativeFrom="paragraph">
                    <wp:posOffset>-532130</wp:posOffset>
                  </wp:positionV>
                  <wp:extent cx="946150" cy="753745"/>
                  <wp:effectExtent l="0" t="0" r="13970" b="8255"/>
                  <wp:wrapThrough wrapText="bothSides">
                    <wp:wrapPolygon>
                      <wp:start x="0" y="0"/>
                      <wp:lineTo x="0" y="20963"/>
                      <wp:lineTo x="21223" y="20963"/>
                      <wp:lineTo x="21223" y="0"/>
                      <wp:lineTo x="0" y="0"/>
                    </wp:wrapPolygon>
                  </wp:wrapThrough>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946403" cy="754126"/>
                          </a:xfrm>
                          <a:prstGeom prst="rect">
                            <a:avLst/>
                          </a:prstGeom>
                        </pic:spPr>
                      </pic:pic>
                    </a:graphicData>
                  </a:graphic>
                </wp:anchor>
              </w:drawing>
            </w:r>
          </w:p>
        </w:tc>
        <w:tc>
          <w:tcPr>
            <w:tcW w:w="3441"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1.防穿刺</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2.抗冲击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80"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足部的防护</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5408" behindDoc="1" locked="0" layoutInCell="1" allowOverlap="1">
                  <wp:simplePos x="0" y="0"/>
                  <wp:positionH relativeFrom="column">
                    <wp:posOffset>322580</wp:posOffset>
                  </wp:positionH>
                  <wp:positionV relativeFrom="paragraph">
                    <wp:posOffset>196850</wp:posOffset>
                  </wp:positionV>
                  <wp:extent cx="883920" cy="647700"/>
                  <wp:effectExtent l="0" t="0" r="0" b="7620"/>
                  <wp:wrapThrough wrapText="bothSides">
                    <wp:wrapPolygon>
                      <wp:start x="0" y="0"/>
                      <wp:lineTo x="0" y="21346"/>
                      <wp:lineTo x="21228" y="21346"/>
                      <wp:lineTo x="21228" y="0"/>
                      <wp:lineTo x="0" y="0"/>
                    </wp:wrapPolygon>
                  </wp:wrapThrough>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0"/>
                          <a:stretch>
                            <a:fillRect/>
                          </a:stretch>
                        </pic:blipFill>
                        <pic:spPr>
                          <a:xfrm>
                            <a:off x="0" y="0"/>
                            <a:ext cx="883920" cy="647700"/>
                          </a:xfrm>
                          <a:prstGeom prst="rect">
                            <a:avLst/>
                          </a:prstGeom>
                        </pic:spPr>
                      </pic:pic>
                    </a:graphicData>
                  </a:graphic>
                </wp:anchor>
              </w:drawing>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3441" w:type="dxa"/>
            <w:vAlign w:val="top"/>
          </w:tcPr>
          <w:p>
            <w:pPr>
              <w:pStyle w:val="18"/>
              <w:keepNext w:val="0"/>
              <w:keepLines w:val="0"/>
              <w:pageBreakBefore w:val="0"/>
              <w:widowControl w:val="0"/>
              <w:numPr>
                <w:ilvl w:val="0"/>
                <w:numId w:val="2"/>
              </w:numPr>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绝缘</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2.防滑</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3.防砸</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4.防穿刺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703"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工作服</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6432" behindDoc="1" locked="0" layoutInCell="1" allowOverlap="1">
                  <wp:simplePos x="0" y="0"/>
                  <wp:positionH relativeFrom="column">
                    <wp:posOffset>307975</wp:posOffset>
                  </wp:positionH>
                  <wp:positionV relativeFrom="paragraph">
                    <wp:posOffset>69850</wp:posOffset>
                  </wp:positionV>
                  <wp:extent cx="863600" cy="961390"/>
                  <wp:effectExtent l="0" t="0" r="5080" b="13970"/>
                  <wp:wrapThrough wrapText="bothSides">
                    <wp:wrapPolygon>
                      <wp:start x="0" y="0"/>
                      <wp:lineTo x="0" y="21229"/>
                      <wp:lineTo x="21346" y="21229"/>
                      <wp:lineTo x="21346" y="0"/>
                      <wp:lineTo x="0" y="0"/>
                    </wp:wrapPolygon>
                  </wp:wrapThrough>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1"/>
                          <a:stretch>
                            <a:fillRect/>
                          </a:stretch>
                        </pic:blipFill>
                        <pic:spPr>
                          <a:xfrm>
                            <a:off x="0" y="0"/>
                            <a:ext cx="864108" cy="961643"/>
                          </a:xfrm>
                          <a:prstGeom prst="rect">
                            <a:avLst/>
                          </a:prstGeom>
                        </pic:spPr>
                      </pic:pic>
                    </a:graphicData>
                  </a:graphic>
                </wp:anchor>
              </w:drawing>
            </w:r>
          </w:p>
        </w:tc>
        <w:tc>
          <w:tcPr>
            <w:tcW w:w="3441"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1.须是长裤</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198" w:leftChars="0" w:hanging="198" w:hangingChars="10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2.护服必须紧身不松垮，达到三紧要求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02"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绝缘手套</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7456" behindDoc="1" locked="0" layoutInCell="1" allowOverlap="1">
                  <wp:simplePos x="0" y="0"/>
                  <wp:positionH relativeFrom="column">
                    <wp:posOffset>208915</wp:posOffset>
                  </wp:positionH>
                  <wp:positionV relativeFrom="paragraph">
                    <wp:posOffset>77470</wp:posOffset>
                  </wp:positionV>
                  <wp:extent cx="961390" cy="1327785"/>
                  <wp:effectExtent l="0" t="0" r="13970" b="13335"/>
                  <wp:wrapThrough wrapText="bothSides">
                    <wp:wrapPolygon>
                      <wp:start x="0" y="0"/>
                      <wp:lineTo x="0" y="21321"/>
                      <wp:lineTo x="21229" y="21321"/>
                      <wp:lineTo x="21229" y="0"/>
                      <wp:lineTo x="0" y="0"/>
                    </wp:wrapPolygon>
                  </wp:wrapThrough>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2"/>
                          <a:stretch>
                            <a:fillRect/>
                          </a:stretch>
                        </pic:blipFill>
                        <pic:spPr>
                          <a:xfrm>
                            <a:off x="0" y="0"/>
                            <a:ext cx="961644" cy="1328292"/>
                          </a:xfrm>
                          <a:prstGeom prst="rect">
                            <a:avLst/>
                          </a:prstGeom>
                        </pic:spPr>
                      </pic:pic>
                    </a:graphicData>
                  </a:graphic>
                </wp:anchor>
              </w:drawing>
            </w:r>
          </w:p>
        </w:tc>
        <w:tc>
          <w:tcPr>
            <w:tcW w:w="3441"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210" w:leftChars="10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在安全上电过程中通电测试时必须佩戴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69"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眼睛的防护</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8480" behindDoc="1" locked="0" layoutInCell="1" allowOverlap="1">
                  <wp:simplePos x="0" y="0"/>
                  <wp:positionH relativeFrom="column">
                    <wp:posOffset>108585</wp:posOffset>
                  </wp:positionH>
                  <wp:positionV relativeFrom="paragraph">
                    <wp:posOffset>68580</wp:posOffset>
                  </wp:positionV>
                  <wp:extent cx="1295400" cy="781685"/>
                  <wp:effectExtent l="0" t="0" r="0" b="10795"/>
                  <wp:wrapThrough wrapText="bothSides">
                    <wp:wrapPolygon>
                      <wp:start x="0" y="0"/>
                      <wp:lineTo x="0" y="21056"/>
                      <wp:lineTo x="21346" y="21056"/>
                      <wp:lineTo x="21346" y="0"/>
                      <wp:lineTo x="0" y="0"/>
                    </wp:wrapPolygon>
                  </wp:wrapThrough>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3"/>
                          <a:stretch>
                            <a:fillRect/>
                          </a:stretch>
                        </pic:blipFill>
                        <pic:spPr>
                          <a:xfrm>
                            <a:off x="0" y="0"/>
                            <a:ext cx="1295400" cy="781812"/>
                          </a:xfrm>
                          <a:prstGeom prst="rect">
                            <a:avLst/>
                          </a:prstGeom>
                        </pic:spPr>
                      </pic:pic>
                    </a:graphicData>
                  </a:graphic>
                </wp:anchor>
              </w:drawing>
            </w:r>
          </w:p>
        </w:tc>
        <w:tc>
          <w:tcPr>
            <w:tcW w:w="3441"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 防溅入</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 带近视镜也必须佩戴</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3.在进行切割加工时必须佩戴</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210" w:leftChars="100" w:firstLine="0" w:firstLineChars="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4.在进行安全测试过程中, 通电测试时必须佩戴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28" w:hRule="atLeast"/>
        </w:trPr>
        <w:tc>
          <w:tcPr>
            <w:tcW w:w="80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w:t>
            </w:r>
          </w:p>
        </w:tc>
        <w:tc>
          <w:tcPr>
            <w:tcW w:w="19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both"/>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防割手套</w:t>
            </w:r>
          </w:p>
        </w:tc>
        <w:tc>
          <w:tcPr>
            <w:tcW w:w="2498"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3441"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1.使用切割工具时必须佩戴</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198" w:leftChars="0" w:hanging="198" w:hangingChars="10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2.在可能被刺伤或者划伤的工作时建议佩戴</w:t>
            </w:r>
          </w:p>
        </w:tc>
      </w:tr>
    </w:tbl>
    <w:p>
      <w:pPr>
        <w:pStyle w:val="3"/>
        <w:bidi w:val="0"/>
        <w:rPr>
          <w:rFonts w:hint="default"/>
          <w:lang w:val="en-US" w:eastAsia="zh-CN"/>
        </w:rPr>
      </w:pPr>
      <w:r>
        <w:t>（二）</w:t>
      </w:r>
      <w:r>
        <w:rPr>
          <w:rFonts w:hint="eastAsia"/>
          <w:lang w:val="en-US" w:eastAsia="zh-CN"/>
        </w:rPr>
        <w:t>赛事安全要求</w:t>
      </w:r>
    </w:p>
    <w:p>
      <w:pPr>
        <w:keepNext w:val="0"/>
        <w:keepLines w:val="0"/>
        <w:pageBreakBefore w:val="0"/>
        <w:widowControl w:val="0"/>
        <w:kinsoku/>
        <w:wordWrap/>
        <w:overflowPunct/>
        <w:topLinePunct w:val="0"/>
        <w:autoSpaceDE/>
        <w:autoSpaceDN/>
        <w:bidi w:val="0"/>
        <w:adjustRightInd/>
        <w:snapToGrid/>
        <w:spacing w:before="40"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选手禁止携带易燃易爆物品，违规者不得参赛。竞赛现场禁止使用明火，违规者将被警告和劝阻，不听从劝阻者将被取消竞赛资格。选手禁带的物品见表1</w:t>
      </w:r>
      <w:r>
        <w:rPr>
          <w:rFonts w:hint="eastAsia" w:ascii="宋体" w:hAnsi="宋体" w:eastAsia="宋体" w:cs="宋体"/>
          <w:spacing w:val="8"/>
          <w:sz w:val="21"/>
          <w:szCs w:val="21"/>
          <w:lang w:val="en-US" w:eastAsia="zh-CN"/>
        </w:rPr>
        <w:t>3</w:t>
      </w:r>
      <w:r>
        <w:rPr>
          <w:rFonts w:hint="eastAsia" w:ascii="宋体" w:hAnsi="宋体" w:eastAsia="宋体" w:cs="宋体"/>
          <w:spacing w:val="8"/>
          <w:sz w:val="21"/>
          <w:szCs w:val="21"/>
        </w:rPr>
        <w:t>。</w:t>
      </w:r>
    </w:p>
    <w:p>
      <w:pPr>
        <w:pStyle w:val="3"/>
        <w:keepNext/>
        <w:keepLines/>
        <w:pageBreakBefore w:val="0"/>
        <w:widowControl w:val="0"/>
        <w:kinsoku/>
        <w:wordWrap/>
        <w:overflowPunct/>
        <w:topLinePunct w:val="0"/>
        <w:autoSpaceDE/>
        <w:autoSpaceDN/>
        <w:bidi w:val="0"/>
        <w:adjustRightInd/>
        <w:snapToGrid/>
        <w:spacing w:before="313" w:beforeLines="100"/>
        <w:ind w:firstLine="880"/>
        <w:jc w:val="center"/>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表13选手禁带的物品清单</w:t>
      </w:r>
    </w:p>
    <w:tbl>
      <w:tblPr>
        <w:tblStyle w:val="19"/>
        <w:tblpPr w:leftFromText="180" w:rightFromText="180" w:vertAnchor="text" w:horzAnchor="page" w:tblpXSpec="center" w:tblpY="602"/>
        <w:tblOverlap w:val="never"/>
        <w:tblW w:w="885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4"/>
        <w:gridCol w:w="2686"/>
        <w:gridCol w:w="2549"/>
        <w:gridCol w:w="2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93" w:hRule="atLeast"/>
          <w:jc w:val="center"/>
        </w:trPr>
        <w:tc>
          <w:tcPr>
            <w:tcW w:w="1254"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序号</w:t>
            </w:r>
          </w:p>
        </w:tc>
        <w:tc>
          <w:tcPr>
            <w:tcW w:w="2686"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有害物品</w:t>
            </w:r>
          </w:p>
        </w:tc>
        <w:tc>
          <w:tcPr>
            <w:tcW w:w="2549"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图示</w:t>
            </w:r>
          </w:p>
        </w:tc>
        <w:tc>
          <w:tcPr>
            <w:tcW w:w="2364" w:type="dxa"/>
            <w:shd w:val="clear" w:color="auto" w:fill="92D050"/>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65" w:hRule="atLeast"/>
          <w:jc w:val="center"/>
        </w:trPr>
        <w:tc>
          <w:tcPr>
            <w:tcW w:w="125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w:t>
            </w:r>
          </w:p>
        </w:tc>
        <w:tc>
          <w:tcPr>
            <w:tcW w:w="268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防锈清洗剂</w:t>
            </w:r>
          </w:p>
        </w:tc>
        <w:tc>
          <w:tcPr>
            <w:tcW w:w="25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69504" behindDoc="1" locked="0" layoutInCell="1" allowOverlap="1">
                  <wp:simplePos x="0" y="0"/>
                  <wp:positionH relativeFrom="column">
                    <wp:posOffset>459740</wp:posOffset>
                  </wp:positionH>
                  <wp:positionV relativeFrom="paragraph">
                    <wp:posOffset>-501650</wp:posOffset>
                  </wp:positionV>
                  <wp:extent cx="679450" cy="724535"/>
                  <wp:effectExtent l="0" t="0" r="6350" b="6985"/>
                  <wp:wrapThrough wrapText="bothSides">
                    <wp:wrapPolygon>
                      <wp:start x="0" y="0"/>
                      <wp:lineTo x="0" y="21354"/>
                      <wp:lineTo x="21317" y="21354"/>
                      <wp:lineTo x="21317" y="0"/>
                      <wp:lineTo x="0" y="0"/>
                    </wp:wrapPolygon>
                  </wp:wrapThrough>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4"/>
                          <a:stretch>
                            <a:fillRect/>
                          </a:stretch>
                        </pic:blipFill>
                        <pic:spPr>
                          <a:xfrm>
                            <a:off x="0" y="0"/>
                            <a:ext cx="679703" cy="724535"/>
                          </a:xfrm>
                          <a:prstGeom prst="rect">
                            <a:avLst/>
                          </a:prstGeom>
                        </pic:spPr>
                      </pic:pic>
                    </a:graphicData>
                  </a:graphic>
                </wp:anchor>
              </w:drawing>
            </w:r>
          </w:p>
        </w:tc>
        <w:tc>
          <w:tcPr>
            <w:tcW w:w="236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禁止携带，赛场统 一提供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02" w:hRule="atLeast"/>
          <w:jc w:val="center"/>
        </w:trPr>
        <w:tc>
          <w:tcPr>
            <w:tcW w:w="125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268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酒精</w:t>
            </w:r>
          </w:p>
        </w:tc>
        <w:tc>
          <w:tcPr>
            <w:tcW w:w="25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0528" behindDoc="1" locked="0" layoutInCell="1" allowOverlap="1">
                  <wp:simplePos x="0" y="0"/>
                  <wp:positionH relativeFrom="column">
                    <wp:posOffset>596900</wp:posOffset>
                  </wp:positionH>
                  <wp:positionV relativeFrom="paragraph">
                    <wp:posOffset>-410210</wp:posOffset>
                  </wp:positionV>
                  <wp:extent cx="400685" cy="633730"/>
                  <wp:effectExtent l="0" t="0" r="10795" b="6350"/>
                  <wp:wrapThrough wrapText="bothSides">
                    <wp:wrapPolygon>
                      <wp:start x="0" y="0"/>
                      <wp:lineTo x="0" y="21297"/>
                      <wp:lineTo x="20539" y="21297"/>
                      <wp:lineTo x="20539" y="0"/>
                      <wp:lineTo x="0" y="0"/>
                    </wp:wrapPolygon>
                  </wp:wrapThrough>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5"/>
                          <a:stretch>
                            <a:fillRect/>
                          </a:stretch>
                        </pic:blipFill>
                        <pic:spPr>
                          <a:xfrm>
                            <a:off x="0" y="0"/>
                            <a:ext cx="400811" cy="633983"/>
                          </a:xfrm>
                          <a:prstGeom prst="rect">
                            <a:avLst/>
                          </a:prstGeom>
                        </pic:spPr>
                      </pic:pic>
                    </a:graphicData>
                  </a:graphic>
                </wp:anchor>
              </w:drawing>
            </w:r>
          </w:p>
        </w:tc>
        <w:tc>
          <w:tcPr>
            <w:tcW w:w="236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3600" behindDoc="1" locked="0" layoutInCell="1" allowOverlap="1">
                  <wp:simplePos x="0" y="0"/>
                  <wp:positionH relativeFrom="column">
                    <wp:posOffset>820420</wp:posOffset>
                  </wp:positionH>
                  <wp:positionV relativeFrom="paragraph">
                    <wp:posOffset>142240</wp:posOffset>
                  </wp:positionV>
                  <wp:extent cx="457200" cy="401955"/>
                  <wp:effectExtent l="0" t="0" r="0" b="9525"/>
                  <wp:wrapThrough wrapText="bothSides">
                    <wp:wrapPolygon>
                      <wp:start x="0" y="0"/>
                      <wp:lineTo x="0" y="20474"/>
                      <wp:lineTo x="20880" y="20474"/>
                      <wp:lineTo x="20880" y="0"/>
                      <wp:lineTo x="0" y="0"/>
                    </wp:wrapPolygon>
                  </wp:wrapThrough>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6"/>
                          <a:stretch>
                            <a:fillRect/>
                          </a:stretch>
                        </pic:blipFill>
                        <pic:spPr>
                          <a:xfrm>
                            <a:off x="0" y="0"/>
                            <a:ext cx="457200" cy="402335"/>
                          </a:xfrm>
                          <a:prstGeom prst="rect">
                            <a:avLst/>
                          </a:prstGeom>
                        </pic:spPr>
                      </pic:pic>
                    </a:graphicData>
                  </a:graphic>
                </wp:anchor>
              </w:drawing>
            </w:r>
            <w:r>
              <w:rPr>
                <w:rFonts w:hint="eastAsia" w:ascii="宋体" w:hAnsi="宋体" w:eastAsia="宋体" w:cs="宋体"/>
                <w:b w:val="0"/>
                <w:bCs w:val="0"/>
                <w:spacing w:val="-6"/>
                <w:sz w:val="21"/>
                <w:szCs w:val="21"/>
                <w:lang w:val="en-US" w:eastAsia="zh-CN"/>
              </w:rPr>
              <w:t>严禁携带</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94" w:hRule="atLeast"/>
          <w:jc w:val="center"/>
        </w:trPr>
        <w:tc>
          <w:tcPr>
            <w:tcW w:w="125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268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汽油</w:t>
            </w:r>
          </w:p>
        </w:tc>
        <w:tc>
          <w:tcPr>
            <w:tcW w:w="25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1552" behindDoc="1" locked="0" layoutInCell="1" allowOverlap="1">
                  <wp:simplePos x="0" y="0"/>
                  <wp:positionH relativeFrom="column">
                    <wp:posOffset>493395</wp:posOffset>
                  </wp:positionH>
                  <wp:positionV relativeFrom="paragraph">
                    <wp:posOffset>67945</wp:posOffset>
                  </wp:positionV>
                  <wp:extent cx="717550" cy="640080"/>
                  <wp:effectExtent l="0" t="0" r="6350" b="7620"/>
                  <wp:wrapThrough wrapText="bothSides">
                    <wp:wrapPolygon>
                      <wp:start x="0" y="0"/>
                      <wp:lineTo x="0" y="21086"/>
                      <wp:lineTo x="21103" y="21086"/>
                      <wp:lineTo x="21103" y="0"/>
                      <wp:lineTo x="0" y="0"/>
                    </wp:wrapPolygon>
                  </wp:wrapThrough>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7"/>
                          <a:stretch>
                            <a:fillRect/>
                          </a:stretch>
                        </pic:blipFill>
                        <pic:spPr>
                          <a:xfrm>
                            <a:off x="0" y="0"/>
                            <a:ext cx="717803" cy="640080"/>
                          </a:xfrm>
                          <a:prstGeom prst="rect">
                            <a:avLst/>
                          </a:prstGeom>
                        </pic:spPr>
                      </pic:pic>
                    </a:graphicData>
                  </a:graphic>
                </wp:anchor>
              </w:drawing>
            </w:r>
          </w:p>
        </w:tc>
        <w:tc>
          <w:tcPr>
            <w:tcW w:w="236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4624" behindDoc="1" locked="0" layoutInCell="1" allowOverlap="1">
                  <wp:simplePos x="0" y="0"/>
                  <wp:positionH relativeFrom="column">
                    <wp:posOffset>819150</wp:posOffset>
                  </wp:positionH>
                  <wp:positionV relativeFrom="paragraph">
                    <wp:posOffset>153035</wp:posOffset>
                  </wp:positionV>
                  <wp:extent cx="469265" cy="438785"/>
                  <wp:effectExtent l="0" t="0" r="6985" b="18415"/>
                  <wp:wrapThrough wrapText="bothSides">
                    <wp:wrapPolygon>
                      <wp:start x="0" y="0"/>
                      <wp:lineTo x="0" y="21006"/>
                      <wp:lineTo x="21045" y="21006"/>
                      <wp:lineTo x="21045" y="0"/>
                      <wp:lineTo x="0" y="0"/>
                    </wp:wrapPolygon>
                  </wp:wrapThrough>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8"/>
                          <a:stretch>
                            <a:fillRect/>
                          </a:stretch>
                        </pic:blipFill>
                        <pic:spPr>
                          <a:xfrm>
                            <a:off x="0" y="0"/>
                            <a:ext cx="469391" cy="438911"/>
                          </a:xfrm>
                          <a:prstGeom prst="rect">
                            <a:avLst/>
                          </a:prstGeom>
                        </pic:spPr>
                      </pic:pic>
                    </a:graphicData>
                  </a:graphic>
                </wp:anchor>
              </w:drawing>
            </w:r>
            <w:r>
              <w:rPr>
                <w:rFonts w:hint="eastAsia" w:ascii="宋体" w:hAnsi="宋体" w:eastAsia="宋体" w:cs="宋体"/>
                <w:b w:val="0"/>
                <w:bCs w:val="0"/>
                <w:spacing w:val="-6"/>
                <w:sz w:val="21"/>
                <w:szCs w:val="21"/>
                <w:lang w:val="en-US" w:eastAsia="zh-CN"/>
              </w:rPr>
              <w:t>严禁携带</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99" w:hRule="atLeast"/>
          <w:jc w:val="center"/>
        </w:trPr>
        <w:tc>
          <w:tcPr>
            <w:tcW w:w="125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268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有毒有害物</w:t>
            </w:r>
          </w:p>
        </w:tc>
        <w:tc>
          <w:tcPr>
            <w:tcW w:w="2549" w:type="dxa"/>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2576" behindDoc="1" locked="0" layoutInCell="1" allowOverlap="1">
                  <wp:simplePos x="0" y="0"/>
                  <wp:positionH relativeFrom="column">
                    <wp:posOffset>383540</wp:posOffset>
                  </wp:positionH>
                  <wp:positionV relativeFrom="paragraph">
                    <wp:posOffset>199390</wp:posOffset>
                  </wp:positionV>
                  <wp:extent cx="829945" cy="424815"/>
                  <wp:effectExtent l="0" t="0" r="8255" b="13335"/>
                  <wp:wrapThrough wrapText="bothSides">
                    <wp:wrapPolygon>
                      <wp:start x="0" y="0"/>
                      <wp:lineTo x="0" y="20922"/>
                      <wp:lineTo x="21022" y="20922"/>
                      <wp:lineTo x="21022" y="0"/>
                      <wp:lineTo x="0" y="0"/>
                    </wp:wrapPolygon>
                  </wp:wrapThrough>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9"/>
                          <a:stretch>
                            <a:fillRect/>
                          </a:stretch>
                        </pic:blipFill>
                        <pic:spPr>
                          <a:xfrm>
                            <a:off x="0" y="0"/>
                            <a:ext cx="830579" cy="425195"/>
                          </a:xfrm>
                          <a:prstGeom prst="rect">
                            <a:avLst/>
                          </a:prstGeom>
                        </pic:spPr>
                      </pic:pic>
                    </a:graphicData>
                  </a:graphic>
                </wp:anchor>
              </w:drawing>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236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drawing>
                <wp:anchor distT="0" distB="0" distL="0" distR="0" simplePos="0" relativeHeight="251675648" behindDoc="1" locked="0" layoutInCell="1" allowOverlap="1">
                  <wp:simplePos x="0" y="0"/>
                  <wp:positionH relativeFrom="column">
                    <wp:posOffset>828040</wp:posOffset>
                  </wp:positionH>
                  <wp:positionV relativeFrom="paragraph">
                    <wp:posOffset>127635</wp:posOffset>
                  </wp:positionV>
                  <wp:extent cx="464820" cy="438785"/>
                  <wp:effectExtent l="0" t="0" r="11430" b="18415"/>
                  <wp:wrapThrough wrapText="bothSides">
                    <wp:wrapPolygon>
                      <wp:start x="0" y="0"/>
                      <wp:lineTo x="0" y="21006"/>
                      <wp:lineTo x="21246" y="21006"/>
                      <wp:lineTo x="21246" y="0"/>
                      <wp:lineTo x="0" y="0"/>
                    </wp:wrapPolygon>
                  </wp:wrapThrough>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20"/>
                          <a:stretch>
                            <a:fillRect/>
                          </a:stretch>
                        </pic:blipFill>
                        <pic:spPr>
                          <a:xfrm>
                            <a:off x="0" y="0"/>
                            <a:ext cx="464820" cy="438911"/>
                          </a:xfrm>
                          <a:prstGeom prst="rect">
                            <a:avLst/>
                          </a:prstGeom>
                        </pic:spPr>
                      </pic:pic>
                    </a:graphicData>
                  </a:graphic>
                </wp:anchor>
              </w:drawing>
            </w:r>
            <w:r>
              <w:rPr>
                <w:rFonts w:hint="eastAsia" w:ascii="宋体" w:hAnsi="宋体" w:eastAsia="宋体" w:cs="宋体"/>
                <w:b w:val="0"/>
                <w:bCs w:val="0"/>
                <w:spacing w:val="-6"/>
                <w:sz w:val="21"/>
                <w:szCs w:val="21"/>
                <w:lang w:val="en-US" w:eastAsia="zh-CN"/>
              </w:rPr>
              <w:t>严禁携带</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pStyle w:val="3"/>
        <w:bidi w:val="0"/>
      </w:pPr>
      <w:r>
        <w:t>（三）赛场必须留有安全通道</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竞赛前必须明确告诉选手和裁判员安全通道和安全门位置。赛场必须配备灭火设备</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并置于显著位置。赛场应具备良好的通风、照明和操作空间的条件。做好竞赛安全、健康和公共卫生及突发事件预防与应急处理等工作。</w:t>
      </w:r>
    </w:p>
    <w:p>
      <w:pPr>
        <w:pStyle w:val="3"/>
        <w:bidi w:val="0"/>
      </w:pPr>
      <w:r>
        <w:t>（四）赛场药品配备</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1.赛场须配备医护人员和必须的药品。</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52" w:firstLineChars="200"/>
        <w:textAlignment w:val="auto"/>
        <w:rPr>
          <w:rFonts w:hint="eastAsia" w:ascii="宋体" w:hAnsi="宋体" w:eastAsia="宋体" w:cs="宋体"/>
          <w:spacing w:val="8"/>
          <w:sz w:val="21"/>
          <w:szCs w:val="21"/>
        </w:rPr>
      </w:pPr>
      <w:r>
        <w:rPr>
          <w:rFonts w:hint="eastAsia" w:ascii="宋体" w:hAnsi="宋体" w:eastAsia="宋体" w:cs="宋体"/>
          <w:spacing w:val="8"/>
          <w:sz w:val="21"/>
          <w:szCs w:val="21"/>
        </w:rPr>
        <w:t>2.选手受伤，必须进行医疗卫生处理，不得延误。</w:t>
      </w:r>
    </w:p>
    <w:p>
      <w:pPr>
        <w:spacing w:before="55" w:line="232" w:lineRule="auto"/>
        <w:outlineLvl w:val="0"/>
        <w:rPr>
          <w:rFonts w:ascii="楷体" w:hAnsi="楷体" w:eastAsia="楷体" w:cs="楷体"/>
          <w:b/>
          <w:bCs/>
          <w:spacing w:val="3"/>
          <w:sz w:val="31"/>
          <w:szCs w:val="31"/>
        </w:rPr>
      </w:pPr>
      <w:r>
        <w:rPr>
          <w:rStyle w:val="14"/>
          <w:lang w:val="en-US" w:eastAsia="zh-CN"/>
        </w:rPr>
        <w:t>（</w:t>
      </w:r>
      <w:r>
        <w:rPr>
          <w:rStyle w:val="14"/>
          <w:rFonts w:hint="eastAsia"/>
          <w:lang w:val="en-US" w:eastAsia="zh-CN"/>
        </w:rPr>
        <w:t>五</w:t>
      </w:r>
      <w:r>
        <w:rPr>
          <w:rStyle w:val="14"/>
          <w:lang w:val="en-US" w:eastAsia="zh-CN"/>
        </w:rPr>
        <w:t>）绿色环保要求</w:t>
      </w:r>
      <w:r>
        <w:rPr>
          <w:rFonts w:ascii="楷体" w:hAnsi="楷体" w:eastAsia="楷体" w:cs="楷体"/>
          <w:b/>
          <w:bCs/>
          <w:spacing w:val="3"/>
          <w:sz w:val="31"/>
          <w:szCs w:val="3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rightChars="0" w:firstLine="452" w:firstLineChars="200"/>
        <w:textAlignment w:val="auto"/>
        <w:rPr>
          <w:rFonts w:ascii="仿宋" w:hAnsi="仿宋" w:eastAsia="仿宋" w:cs="仿宋"/>
          <w:spacing w:val="8"/>
          <w:sz w:val="31"/>
          <w:szCs w:val="31"/>
        </w:rPr>
      </w:pPr>
      <w:r>
        <w:rPr>
          <w:rFonts w:hint="eastAsia" w:ascii="宋体" w:hAnsi="宋体" w:eastAsia="宋体" w:cs="宋体"/>
          <w:spacing w:val="8"/>
          <w:sz w:val="21"/>
          <w:szCs w:val="21"/>
          <w:lang w:val="en-US" w:eastAsia="zh-CN"/>
        </w:rPr>
        <w:t>竞赛任何工作都不应该破坏赛场内外和周边环境，赛场内禁吸烟。选手需要注意节约竞赛现场的材料，不得浪费材料。物品掉落需要及时捡起收集，不得当</w:t>
      </w:r>
      <w:r>
        <w:rPr>
          <w:rFonts w:hint="eastAsia" w:ascii="宋体" w:hAnsi="宋体" w:cs="宋体"/>
          <w:spacing w:val="8"/>
          <w:sz w:val="21"/>
          <w:szCs w:val="21"/>
          <w:lang w:val="en-US" w:eastAsia="zh-CN"/>
        </w:rPr>
        <w:t>作</w:t>
      </w:r>
      <w:r>
        <w:rPr>
          <w:rFonts w:hint="eastAsia" w:ascii="宋体" w:hAnsi="宋体" w:eastAsia="宋体" w:cs="宋体"/>
          <w:spacing w:val="8"/>
          <w:sz w:val="21"/>
          <w:szCs w:val="21"/>
          <w:lang w:val="en-US" w:eastAsia="zh-CN"/>
        </w:rPr>
        <w:t>垃圾清理。不收集掉落材料和物品，从而造成竞赛材料缺乏者，赛场将不再为该选手增补同型号材料。提倡绿色制造的理念。可循环利用的材料应分类处理和收集，以便于循环利用。</w:t>
      </w:r>
    </w:p>
    <w:p>
      <w:pPr>
        <w:pStyle w:val="2"/>
        <w:bidi w:val="0"/>
        <w:rPr>
          <w:rFonts w:hint="eastAsia" w:ascii="宋体" w:hAnsi="宋体" w:eastAsia="宋体" w:cs="宋体"/>
          <w:sz w:val="21"/>
          <w:szCs w:val="21"/>
        </w:rPr>
      </w:pPr>
      <w:r>
        <w:rPr>
          <w:rFonts w:hint="eastAsia"/>
          <w:lang w:val="en-US" w:eastAsia="zh-CN"/>
        </w:rPr>
        <w:t>六</w:t>
      </w:r>
      <w:r>
        <w:t>、</w:t>
      </w:r>
      <w:r>
        <w:rPr>
          <w:rFonts w:hint="eastAsia"/>
          <w:lang w:val="en-US" w:eastAsia="zh-CN"/>
        </w:rPr>
        <w:t>样题及设备情况</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一、项目名称：电工项目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二、项目完成时间：330分钟（5.5小时），本项目共有2个模块，其中模块 A 继电控制线路设计与安装、调试为 210 分钟（3.5小时） ，模块 B  PLC 电气控制系统编程与调试为120 分钟（2小时）。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三、任务配分：满分为 100 分。其中，模块 A 继电控制线路设计与安装、调试 55分，模块 B  PLC 电气控制系统编程与调试 45 分。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四、组合方式：每个工位 1 人。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五、竞赛设备：PLC 电气控制平台、电力拖动平台。</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六、注意事项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1.参赛选手随时注意存盘，并将编制的程序保存在“桌面\电工项目\工位号\程序 ”。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2.选手要在抽签的工位上进行比赛，按要求在任务书封面上填写好场次号、工位号。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3.除组委会规定允许携带的比赛工具、万用表和选手自带物品清单上的物料外，不得携带任何与竞赛无关的物品和通讯工具等进场。进入竞赛场地后，必须遵守赛场纪律，否则现场裁判人员有权取消该选手参赛资格。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4.请不要在试卷内填写与竞赛无关的内容，按题目要求完成竞赛任务。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5.参赛选手如对试卷内容若有疑问，应举手示意，请裁判人员处理。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6.竞赛时间结束，所有参赛选手要立刻停止操作，等待裁判人员验收。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 xml:space="preserve">7.在比赛过程中，选手若有违规操作，将根据具体情况在专业规范扣除相应的分数。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8.每次任务完成后，应保证桌面、工具清洁，现场工具及其他物品摆放整齐。不合格者视情况在专业规范项扣除相应的分数。</w:t>
      </w:r>
    </w:p>
    <w:p>
      <w:pPr>
        <w:keepNext w:val="0"/>
        <w:keepLines w:val="0"/>
        <w:widowControl/>
        <w:suppressLineNumbers w:val="0"/>
        <w:ind w:left="0" w:leftChars="0" w:firstLine="0" w:firstLineChars="0"/>
        <w:jc w:val="left"/>
        <w:rPr>
          <w:rFonts w:hint="eastAsia" w:ascii="宋体" w:hAnsi="宋体" w:eastAsia="宋体" w:cs="宋体"/>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color w:val="000000"/>
          <w:kern w:val="0"/>
          <w:sz w:val="28"/>
          <w:szCs w:val="28"/>
          <w:lang w:val="en-US" w:eastAsia="zh-CN" w:bidi="ar"/>
        </w:rPr>
      </w:pPr>
    </w:p>
    <w:p>
      <w:pPr>
        <w:keepNext w:val="0"/>
        <w:keepLines w:val="0"/>
        <w:widowControl/>
        <w:suppressLineNumbers w:val="0"/>
        <w:jc w:val="center"/>
        <w:rPr>
          <w:rFonts w:hint="eastAsia" w:ascii="宋体" w:hAnsi="宋体" w:eastAsia="宋体" w:cs="宋体"/>
          <w:color w:val="000000"/>
          <w:kern w:val="0"/>
          <w:sz w:val="28"/>
          <w:szCs w:val="28"/>
          <w:lang w:val="en-US" w:eastAsia="zh-CN" w:bidi="ar"/>
        </w:rPr>
      </w:pPr>
    </w:p>
    <w:p>
      <w:pPr>
        <w:keepNext w:val="0"/>
        <w:keepLines w:val="0"/>
        <w:widowControl/>
        <w:suppressLineNumbers w:val="0"/>
        <w:jc w:val="center"/>
        <w:rPr>
          <w:rFonts w:hint="eastAsia" w:ascii="宋体" w:hAnsi="宋体" w:eastAsia="宋体" w:cs="宋体"/>
          <w:color w:val="000000"/>
          <w:kern w:val="0"/>
          <w:sz w:val="28"/>
          <w:szCs w:val="28"/>
          <w:lang w:val="en-US" w:eastAsia="zh-CN" w:bidi="ar"/>
        </w:rPr>
      </w:pPr>
    </w:p>
    <w:p>
      <w:pPr>
        <w:keepNext w:val="0"/>
        <w:keepLines w:val="0"/>
        <w:widowControl/>
        <w:suppressLineNumbers w:val="0"/>
        <w:jc w:val="center"/>
        <w:rPr>
          <w:sz w:val="28"/>
          <w:szCs w:val="28"/>
        </w:rPr>
      </w:pPr>
      <w:r>
        <w:rPr>
          <w:rFonts w:hint="eastAsia" w:ascii="宋体" w:hAnsi="宋体" w:eastAsia="宋体" w:cs="宋体"/>
          <w:color w:val="000000"/>
          <w:kern w:val="0"/>
          <w:sz w:val="28"/>
          <w:szCs w:val="28"/>
          <w:lang w:val="en-US" w:eastAsia="zh-CN" w:bidi="ar"/>
        </w:rPr>
        <w:t>模块 A 继电控制线路设计与安装、调试</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背景及控制要求</w:t>
      </w:r>
      <w:r>
        <w:rPr>
          <w:rFonts w:hint="eastAsia" w:ascii="宋体" w:hAnsi="宋体" w:cs="宋体"/>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某一生产设备由</w:t>
      </w:r>
      <w:r>
        <w:rPr>
          <w:rFonts w:hint="eastAsia" w:ascii="宋体" w:hAnsi="宋体" w:cs="宋体"/>
          <w:color w:val="000000"/>
          <w:kern w:val="0"/>
          <w:sz w:val="21"/>
          <w:szCs w:val="21"/>
          <w:lang w:val="en-US" w:eastAsia="zh-CN" w:bidi="ar"/>
        </w:rPr>
        <w:t>两</w:t>
      </w:r>
      <w:r>
        <w:rPr>
          <w:rFonts w:hint="eastAsia" w:ascii="宋体" w:hAnsi="宋体" w:eastAsia="宋体" w:cs="宋体"/>
          <w:color w:val="000000"/>
          <w:kern w:val="0"/>
          <w:sz w:val="21"/>
          <w:szCs w:val="21"/>
          <w:lang w:val="en-US" w:eastAsia="zh-CN" w:bidi="ar"/>
        </w:rPr>
        <w:t xml:space="preserve">台电机拖动运行，电机为M1，参数为电压380V、功率180W、接法△、电流0.4A、转速1400r/min。控制要求如下：控制系统要求采用常规的继电控制。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 xml:space="preserve">你作为一名技术人员，请根据现有电力拖动平台及相关技术要求完成设备的继电控制线路的设计与安装、调试。 </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控制要求：</w:t>
      </w:r>
      <w:r>
        <w:rPr>
          <w:rFonts w:hint="eastAsia" w:ascii="宋体" w:hAnsi="宋体" w:eastAsia="宋体" w:cs="宋体"/>
          <w:spacing w:val="-6"/>
          <w:sz w:val="21"/>
          <w:szCs w:val="21"/>
          <w:vertAlign w:val="baseline"/>
          <w:lang w:val="en-US" w:eastAsia="zh-CN"/>
        </w:rPr>
        <w:t>小车可以正反方向启动。如果小车初始停在卸料位置A，按下SB1按钮，小车从A处向B处（装料位置）正向运行，运动到位后进行自动装料，装料时间为5S，随后小车从B处向A处反向运行，运动到位后进行自动卸料，卸料时间为2S，之后自动循环进行装料、卸料工作。如果小车初始停在装料位置B，按下SB2按钮，小车从B处向A处（卸料位置）反向运行，运动到位后进行自动卸料，卸料时间为2S，随后小车从A处向B处正向运行，进行自动装料，装料时间为5S，之后自动循环进行装料、卸料工作。小车在工作时，按下SB3停止按钮，小车立刻停止工作。</w:t>
      </w:r>
      <w:r>
        <w:rPr>
          <w:rFonts w:hint="eastAsia" w:ascii="宋体" w:hAnsi="宋体" w:cs="宋体"/>
          <w:color w:val="000000"/>
          <w:kern w:val="0"/>
          <w:sz w:val="21"/>
          <w:szCs w:val="21"/>
          <w:lang w:val="en-US" w:eastAsia="zh-CN" w:bidi="ar"/>
        </w:rPr>
        <w:t>电路应具有指示，</w:t>
      </w:r>
      <w:r>
        <w:rPr>
          <w:rFonts w:hint="eastAsia" w:ascii="宋体" w:hAnsi="宋体" w:eastAsia="宋体" w:cs="宋体"/>
          <w:color w:val="000000"/>
          <w:kern w:val="0"/>
          <w:sz w:val="21"/>
          <w:szCs w:val="21"/>
          <w:lang w:val="en-US" w:eastAsia="zh-CN" w:bidi="ar"/>
        </w:rPr>
        <w:t>具有短路、过载、欠压及失压保护。</w:t>
      </w:r>
    </w:p>
    <w:p>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宋体" w:hAnsi="宋体" w:eastAsia="宋体" w:cs="宋体"/>
          <w:spacing w:val="-6"/>
          <w:sz w:val="21"/>
          <w:szCs w:val="21"/>
          <w:vertAlign w:val="baseline"/>
          <w:lang w:val="en-US" w:eastAsia="zh-CN"/>
        </w:rPr>
      </w:pPr>
      <w:r>
        <w:rPr>
          <w:rFonts w:hint="eastAsia" w:ascii="宋体" w:hAnsi="宋体" w:eastAsia="宋体" w:cs="宋体"/>
          <w:spacing w:val="-6"/>
          <w:sz w:val="21"/>
          <w:szCs w:val="21"/>
          <w:vertAlign w:val="baseline"/>
          <w:lang w:val="en-US" w:eastAsia="zh-CN"/>
        </w:rPr>
        <w:t xml:space="preserve">2.各组成部分介绍 </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396" w:firstLineChars="200"/>
        <w:jc w:val="left"/>
        <w:textAlignment w:val="auto"/>
        <w:rPr>
          <w:rFonts w:hint="eastAsia" w:ascii="宋体" w:hAnsi="宋体" w:eastAsia="宋体" w:cs="宋体"/>
          <w:spacing w:val="-6"/>
          <w:sz w:val="21"/>
          <w:szCs w:val="21"/>
          <w:vertAlign w:val="baseline"/>
          <w:lang w:val="en-US" w:eastAsia="zh-CN"/>
        </w:rPr>
      </w:pPr>
      <w:r>
        <w:rPr>
          <w:rFonts w:hint="eastAsia" w:ascii="宋体" w:hAnsi="宋体" w:eastAsia="宋体" w:cs="宋体"/>
          <w:spacing w:val="-6"/>
          <w:sz w:val="21"/>
          <w:szCs w:val="21"/>
          <w:vertAlign w:val="baseline"/>
          <w:lang w:val="en-US" w:eastAsia="zh-CN"/>
        </w:rPr>
        <w:t>电力拖动平台采用万能网孔板开放式设计、 自由组合的思路，平台配套电力拖动实训套件箱，参赛选手根据相关技术要求，选取器件、组合成相应的继电控制电路，完成电力拖动线路安装、接线、调试及工艺整理。同时平台配备了装有三相异步电动机及双速电动机的电动机组，电动机引线采用高绝缘性安全型接线柱引出，以便于参赛选手接线。电动机组在设备中作为电路负载模块使用。</w:t>
      </w:r>
    </w:p>
    <w:p>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jc w:val="center"/>
        <w:rPr>
          <w:rFonts w:hint="eastAsia" w:ascii="宋体" w:hAnsi="宋体" w:eastAsia="宋体" w:cs="宋体"/>
          <w:b/>
          <w:bCs/>
          <w:color w:val="000000"/>
          <w:kern w:val="0"/>
          <w:sz w:val="31"/>
          <w:szCs w:val="31"/>
          <w:lang w:val="en-US" w:eastAsia="zh-CN" w:bidi="ar"/>
        </w:rPr>
      </w:pPr>
    </w:p>
    <w:p>
      <w:pPr>
        <w:keepNext w:val="0"/>
        <w:keepLines w:val="0"/>
        <w:widowControl/>
        <w:suppressLineNumbers w:val="0"/>
        <w:ind w:left="0" w:leftChars="0" w:firstLine="0" w:firstLineChars="0"/>
        <w:jc w:val="center"/>
        <w:rPr>
          <w:b w:val="0"/>
          <w:bCs w:val="0"/>
          <w:sz w:val="28"/>
          <w:szCs w:val="28"/>
        </w:rPr>
      </w:pPr>
      <w:r>
        <w:rPr>
          <w:rFonts w:hint="eastAsia" w:ascii="宋体" w:hAnsi="宋体" w:eastAsia="宋体" w:cs="宋体"/>
          <w:b w:val="0"/>
          <w:bCs w:val="0"/>
          <w:color w:val="000000"/>
          <w:kern w:val="0"/>
          <w:sz w:val="28"/>
          <w:szCs w:val="28"/>
          <w:lang w:val="en-US" w:eastAsia="zh-CN" w:bidi="ar"/>
        </w:rPr>
        <w:t>模块 B PLC 电气控制系统编程与调试</w:t>
      </w:r>
    </w:p>
    <w:p>
      <w:pPr>
        <w:keepNext w:val="0"/>
        <w:keepLines w:val="0"/>
        <w:pageBreakBefore w:val="0"/>
        <w:widowControl/>
        <w:suppressLineNumbers w:val="0"/>
        <w:kinsoku/>
        <w:wordWrap/>
        <w:overflowPunct/>
        <w:topLinePunct w:val="0"/>
        <w:autoSpaceDE/>
        <w:autoSpaceDN/>
        <w:bidi w:val="0"/>
        <w:adjustRightInd/>
        <w:snapToGrid/>
        <w:spacing w:line="560" w:lineRule="exact"/>
        <w:ind w:left="0" w:leftChars="0" w:firstLine="420" w:firstLineChars="20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1.背景及控制要求</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某企业需加装一台生产设备，该设备由电动机M1(变频控制)配合电动机M2（步进控制）完成加工工作，设备目前在模拟生产平台已完成接线及I/O分配工作。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你作为一名电工技术人员，请根据控制要求及I、O分配，编制控制程序，调试设备在模拟生产平台上完成最终控制要求。该设备安装了触摸屏，对电动机进行控制和监视，要求触摸屏页面设置(如图所示）。</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2.控制要求</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手动控制：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将SA1置于左侧位置，HL1以1HZ闪烁表示设备处于手动控制状态，点击“手动控制”画面按钮，触摸屏显示手动控制页面。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1电动机采用连续控制方式，点击触摸屏上“M1正转启动”按钮，M1电动机以低速30HZ正向运转，HL2指示灯以1HZ闪烁。点击触摸屏上“M1停止”按钮，M1及对应指示灯恢复到初始状态。点击触摸屏上“M1反转启动”按钮，M1电动机以低速30HZ反向运转，HL2指示灯以1HZ闪烁。点击触摸屏上“M1停止”按钮，M1及对应指示灯恢复到初始状态。M1正反转切换时必须先点击触摸屏上“M1停止”按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2电动机采用点动控制，按下触摸屏上“M2正转”按钮，M2电动机正转，带动工作台向SQ4方向移动，松开触摸屏上“M2正转”按钮，M2及对应指示灯应立即停止。按下触摸屏上“M2反转”按钮，M2电动机反转，带动工作台向SQ1方向移动，松开触摸屏上“M2反转”按钮，M2及对应指示灯立即停止。当M2正转时工作台移动到SQ4位置后应立即停止并且不能继续正转，当M2反转时工作台移动到SQ1位置后应立即停止并且不能继续反转。</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自动控制：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将SA1置于右侧位置，HL1常亮表示设备处于自动控制状态，点击“自动控制”画面按钮，触摸屏显示自动控制页面。M1电动机处于停止状态，工作台处于SQ1位置，如果工作台不在SQ1位置，那么电动机M2运行将工作台置于SQ1处。按下SB1，HL5指示灯常亮，系统按照以下流程工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M2电动机正转，当工作台到达SQ2时M2电动机停止。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M1电动机以中速输入框内频率值正转，HL3常亮，运行10秒后，M1电动机停止，HL3熄灭。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M2电动机正转，当工作台到达SQ3时，M2电动机停止。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M1电动机以高速输入框内频率值正转，HL4常亮，运行10秒后，M1电动机停止，HL4熄灭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M2电动机正转，当工作台到达SQ4时M2电动机停止。</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M1电动机以中速输入框内频率值反转，HL3常亮，运行10秒后，M1电动机停止，HL3熄灭。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M2电动机反转，当工作台到达SQ3时，M1电动机以低速输入框内频率值反转，HL2常亮。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当工作台到达SQ2时，HL2熄灭。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当工作台到达SQ1时M2电动机停止，M1电动机以低速输入框内频率值正转HL2常亮。</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延时10秒后M1电动机停止，HL2熄灭。</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工件计数器数值加1，等待5秒后继续第一步动作。</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变频器的斜坡上升时间1s，斜坡下降时间1s，触摸屏应能显示电动机当前转速，单位r/min。</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系统要求小车运行速度可通过电位器进行调节，顺时针变快，逆时针变慢，不指定具体速度值，但速度要有明显的变化。</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当设备处于自动运行时，按一下SB2按钮系统在完成第11步动作后停止，HL5指示灯熄灭。M1、M2恢复初始状态。</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cs="宋体"/>
          <w:color w:val="000000"/>
          <w:kern w:val="0"/>
          <w:sz w:val="21"/>
          <w:szCs w:val="21"/>
          <w:lang w:val="en-US" w:eastAsia="zh-CN" w:bidi="ar"/>
        </w:rPr>
      </w:pPr>
      <w:r>
        <w:rPr>
          <w:rFonts w:hint="eastAsia" w:ascii="宋体" w:hAnsi="宋体" w:cs="宋体"/>
          <w:color w:val="000000"/>
          <w:kern w:val="0"/>
          <w:sz w:val="21"/>
          <w:szCs w:val="21"/>
          <w:lang w:val="en-US" w:eastAsia="zh-CN" w:bidi="ar"/>
        </w:rPr>
        <w:t>4）急停控制</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880"/>
        <w:jc w:val="left"/>
        <w:textAlignment w:val="auto"/>
        <w:rPr>
          <w:rFonts w:hint="eastAsia" w:ascii="宋体" w:hAnsi="宋体" w:eastAsia="宋体" w:cs="宋体"/>
          <w:b w:val="0"/>
          <w:bCs w:val="0"/>
          <w:color w:val="000000" w:themeColor="text1"/>
          <w:sz w:val="28"/>
          <w:szCs w:val="22"/>
          <w:lang w:val="en-US" w:eastAsia="zh-CN"/>
          <w14:textFill>
            <w14:solidFill>
              <w14:schemeClr w14:val="tx1"/>
            </w14:solidFill>
          </w14:textFill>
        </w:rPr>
      </w:pPr>
      <w:r>
        <w:rPr>
          <w:rFonts w:hint="eastAsia" w:ascii="宋体" w:hAnsi="宋体" w:cs="宋体"/>
          <w:color w:val="000000"/>
          <w:kern w:val="0"/>
          <w:sz w:val="21"/>
          <w:szCs w:val="21"/>
          <w:lang w:val="en-US" w:eastAsia="zh-CN" w:bidi="ar"/>
        </w:rPr>
        <w:t>按下急停按钮SB3，系统立即停止所有动作，HL5指示灯以1HZ闪烁。恢复SB3，系统恢复到初始状态。</w:t>
      </w:r>
    </w:p>
    <w:p>
      <w:pPr>
        <w:widowControl/>
        <w:numPr>
          <w:ilvl w:val="0"/>
          <w:numId w:val="0"/>
        </w:numPr>
        <w:jc w:val="center"/>
        <w:rPr>
          <w:rFonts w:hint="eastAsia" w:ascii="宋体" w:hAnsi="宋体" w:eastAsia="宋体" w:cs="宋体"/>
          <w:b w:val="0"/>
          <w:bCs w:val="0"/>
          <w:color w:val="000000" w:themeColor="text1"/>
          <w:sz w:val="21"/>
          <w:szCs w:val="21"/>
          <w:shd w:val="clear" w:color="auto" w:fill="auto"/>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图1 运料小车单元</w:t>
      </w:r>
    </w:p>
    <w:p>
      <w:pPr>
        <w:pStyle w:val="4"/>
        <w:spacing w:line="360" w:lineRule="auto"/>
        <w:ind w:firstLine="602" w:firstLineChars="200"/>
        <w:jc w:val="center"/>
        <w:rPr>
          <w:sz w:val="20"/>
        </w:rPr>
      </w:pPr>
      <w:r>
        <w:rPr>
          <w:rFonts w:hint="eastAsia" w:ascii="宋体" w:hAnsi="宋体" w:eastAsia="宋体" w:cs="宋体"/>
          <w:b/>
          <w:bCs/>
          <w:color w:val="000000" w:themeColor="text1"/>
          <w:sz w:val="30"/>
          <w:szCs w:val="30"/>
          <w:lang w:val="en-US" w:eastAsia="zh-CN"/>
          <w14:textFill>
            <w14:solidFill>
              <w14:schemeClr w14:val="tx1"/>
            </w14:solidFill>
          </w14:textFill>
        </w:rPr>
        <w:drawing>
          <wp:anchor distT="0" distB="0" distL="114300" distR="114300" simplePos="0" relativeHeight="251661312" behindDoc="1" locked="0" layoutInCell="1" allowOverlap="1">
            <wp:simplePos x="0" y="0"/>
            <wp:positionH relativeFrom="column">
              <wp:posOffset>434340</wp:posOffset>
            </wp:positionH>
            <wp:positionV relativeFrom="paragraph">
              <wp:posOffset>139700</wp:posOffset>
            </wp:positionV>
            <wp:extent cx="5163820" cy="1656080"/>
            <wp:effectExtent l="0" t="0" r="2540" b="5080"/>
            <wp:wrapThrough wrapText="bothSides">
              <wp:wrapPolygon>
                <wp:start x="4717" y="795"/>
                <wp:lineTo x="4654" y="1193"/>
                <wp:lineTo x="4590" y="3379"/>
                <wp:lineTo x="637" y="6758"/>
                <wp:lineTo x="255" y="9144"/>
                <wp:lineTo x="319" y="13517"/>
                <wp:lineTo x="637" y="16697"/>
                <wp:lineTo x="637" y="21467"/>
                <wp:lineTo x="21419" y="21467"/>
                <wp:lineTo x="21547" y="6560"/>
                <wp:lineTo x="19316" y="5764"/>
                <wp:lineTo x="13578" y="3975"/>
                <wp:lineTo x="13515" y="1193"/>
                <wp:lineTo x="13451" y="795"/>
                <wp:lineTo x="4717" y="795"/>
              </wp:wrapPolygon>
            </wp:wrapThrough>
            <wp:docPr id="4" name="图片 4" descr="效果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效果图2"/>
                    <pic:cNvPicPr>
                      <a:picLocks noChangeAspect="1"/>
                    </pic:cNvPicPr>
                  </pic:nvPicPr>
                  <pic:blipFill>
                    <a:blip r:embed="rId21"/>
                    <a:srcRect l="1760" t="17895" r="5787" b="19010"/>
                    <a:stretch>
                      <a:fillRect/>
                    </a:stretch>
                  </pic:blipFill>
                  <pic:spPr>
                    <a:xfrm>
                      <a:off x="0" y="0"/>
                      <a:ext cx="5163820" cy="1656080"/>
                    </a:xfrm>
                    <a:prstGeom prst="rect">
                      <a:avLst/>
                    </a:prstGeom>
                  </pic:spPr>
                </pic:pic>
              </a:graphicData>
            </a:graphic>
          </wp:anchor>
        </w:drawing>
      </w:r>
    </w:p>
    <w:p>
      <w:pPr>
        <w:pStyle w:val="4"/>
        <w:spacing w:line="360" w:lineRule="auto"/>
        <w:ind w:firstLine="400" w:firstLineChars="200"/>
        <w:rPr>
          <w:sz w:val="20"/>
        </w:rPr>
      </w:pPr>
    </w:p>
    <w:p>
      <w:pPr>
        <w:spacing w:before="100" w:line="226" w:lineRule="auto"/>
        <w:rPr>
          <w:rFonts w:hint="eastAsia" w:ascii="仿宋" w:hAnsi="仿宋" w:eastAsia="仿宋" w:cs="仿宋"/>
          <w:b/>
          <w:bCs/>
          <w:spacing w:val="5"/>
          <w:sz w:val="31"/>
          <w:szCs w:val="31"/>
          <w:lang w:val="en-US"/>
        </w:rPr>
      </w:pPr>
    </w:p>
    <w:p>
      <w:pPr>
        <w:spacing w:before="100" w:line="226" w:lineRule="auto"/>
        <w:rPr>
          <w:rFonts w:hint="eastAsia" w:ascii="仿宋" w:hAnsi="仿宋" w:eastAsia="仿宋" w:cs="仿宋"/>
          <w:b/>
          <w:bCs/>
          <w:spacing w:val="5"/>
          <w:sz w:val="31"/>
          <w:szCs w:val="31"/>
          <w:lang w:val="en-US"/>
        </w:rPr>
      </w:pPr>
    </w:p>
    <w:p>
      <w:pPr>
        <w:keepNext w:val="0"/>
        <w:keepLines w:val="0"/>
        <w:pageBreakBefore w:val="0"/>
        <w:widowControl/>
        <w:suppressLineNumbers w:val="0"/>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color w:val="000000"/>
          <w:kern w:val="0"/>
          <w:sz w:val="28"/>
          <w:szCs w:val="28"/>
          <w:shd w:val="clear" w:color="auto" w:fill="auto"/>
          <w:lang w:val="en-US" w:eastAsia="zh-CN" w:bidi="ar"/>
        </w:rPr>
      </w:pPr>
    </w:p>
    <w:p>
      <w:pPr>
        <w:widowControl/>
        <w:numPr>
          <w:ilvl w:val="0"/>
          <w:numId w:val="0"/>
        </w:numPr>
        <w:ind w:firstLine="880"/>
        <w:jc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图2 手动控制界面</w:t>
      </w:r>
    </w:p>
    <w:p>
      <w:pPr>
        <w:bidi w:val="0"/>
        <w:jc w:val="both"/>
        <w:rPr>
          <w:rFonts w:hint="eastAsia" w:ascii="宋体" w:hAnsi="宋体" w:eastAsia="宋体" w:cs="宋体"/>
          <w:b w:val="0"/>
          <w:bCs w:val="0"/>
          <w:color w:val="000000" w:themeColor="text1"/>
          <w:sz w:val="28"/>
          <w:szCs w:val="22"/>
          <w:lang w:val="en-US" w:eastAsia="zh-CN"/>
          <w14:textFill>
            <w14:solidFill>
              <w14:schemeClr w14:val="tx1"/>
            </w14:solidFill>
          </w14:textFill>
        </w:rPr>
      </w:pPr>
      <w:r>
        <w:rPr>
          <w:rFonts w:hint="eastAsia" w:ascii="宋体" w:hAnsi="宋体" w:eastAsia="宋体" w:cs="宋体"/>
          <w:b w:val="0"/>
          <w:bCs w:val="0"/>
          <w:color w:val="000000" w:themeColor="text1"/>
          <w:sz w:val="28"/>
          <w:szCs w:val="22"/>
          <w:lang w:val="en-US" w:eastAsia="zh-CN"/>
          <w14:textFill>
            <w14:solidFill>
              <w14:schemeClr w14:val="tx1"/>
            </w14:solidFill>
          </w14:textFill>
        </w:rPr>
        <w:drawing>
          <wp:anchor distT="0" distB="0" distL="114300" distR="114300" simplePos="0" relativeHeight="251662336" behindDoc="0" locked="0" layoutInCell="1" allowOverlap="1">
            <wp:simplePos x="0" y="0"/>
            <wp:positionH relativeFrom="column">
              <wp:posOffset>90170</wp:posOffset>
            </wp:positionH>
            <wp:positionV relativeFrom="paragraph">
              <wp:posOffset>101600</wp:posOffset>
            </wp:positionV>
            <wp:extent cx="5935345" cy="3599180"/>
            <wp:effectExtent l="0" t="0" r="8255" b="12700"/>
            <wp:wrapNone/>
            <wp:docPr id="5" name="图片 5" descr="屏幕截图 2024-10-20 08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屏幕截图 2024-10-20 084541"/>
                    <pic:cNvPicPr>
                      <a:picLocks noChangeAspect="1"/>
                    </pic:cNvPicPr>
                  </pic:nvPicPr>
                  <pic:blipFill>
                    <a:blip r:embed="rId22"/>
                    <a:stretch>
                      <a:fillRect/>
                    </a:stretch>
                  </pic:blipFill>
                  <pic:spPr>
                    <a:xfrm>
                      <a:off x="0" y="0"/>
                      <a:ext cx="5935345" cy="3599180"/>
                    </a:xfrm>
                    <a:prstGeom prst="rect">
                      <a:avLst/>
                    </a:prstGeom>
                  </pic:spPr>
                </pic:pic>
              </a:graphicData>
            </a:graphic>
          </wp:anchor>
        </w:drawing>
      </w: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ind w:firstLine="560" w:firstLineChars="20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both"/>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widowControl/>
        <w:numPr>
          <w:ilvl w:val="0"/>
          <w:numId w:val="0"/>
        </w:numPr>
        <w:ind w:firstLine="880"/>
        <w:jc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widowControl/>
        <w:numPr>
          <w:ilvl w:val="0"/>
          <w:numId w:val="0"/>
        </w:numPr>
        <w:ind w:firstLine="880"/>
        <w:jc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p>
    <w:p>
      <w:pPr>
        <w:widowControl/>
        <w:numPr>
          <w:ilvl w:val="0"/>
          <w:numId w:val="0"/>
        </w:numPr>
        <w:ind w:firstLine="880"/>
        <w:jc w:val="center"/>
        <w:rPr>
          <w:rFonts w:hint="eastAsia" w:ascii="宋体" w:hAnsi="宋体" w:eastAsia="宋体" w:cs="宋体"/>
          <w:b w:val="0"/>
          <w:bCs w:val="0"/>
          <w:color w:val="000000" w:themeColor="text1"/>
          <w:sz w:val="21"/>
          <w:szCs w:val="21"/>
          <w:lang w:val="en-US" w:eastAsia="zh-CN"/>
          <w14:textFill>
            <w14:solidFill>
              <w14:schemeClr w14:val="tx1"/>
            </w14:solidFill>
          </w14:textFill>
        </w:rPr>
      </w:pPr>
      <w:r>
        <w:rPr>
          <w:rFonts w:hint="eastAsia" w:ascii="宋体" w:hAnsi="宋体" w:eastAsia="宋体" w:cs="宋体"/>
          <w:b w:val="0"/>
          <w:bCs w:val="0"/>
          <w:color w:val="000000" w:themeColor="text1"/>
          <w:sz w:val="21"/>
          <w:szCs w:val="21"/>
          <w:lang w:val="en-US" w:eastAsia="zh-CN"/>
          <w14:textFill>
            <w14:solidFill>
              <w14:schemeClr w14:val="tx1"/>
            </w14:solidFill>
          </w14:textFill>
        </w:rPr>
        <w:t>图4 自动控制界面</w:t>
      </w: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r>
        <w:rPr>
          <w:rFonts w:hint="eastAsia" w:ascii="宋体" w:hAnsi="宋体" w:eastAsia="宋体" w:cs="宋体"/>
          <w:b w:val="0"/>
          <w:bCs w:val="0"/>
          <w:color w:val="000000" w:themeColor="text1"/>
          <w:sz w:val="28"/>
          <w:szCs w:val="22"/>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104775</wp:posOffset>
            </wp:positionH>
            <wp:positionV relativeFrom="paragraph">
              <wp:posOffset>109855</wp:posOffset>
            </wp:positionV>
            <wp:extent cx="5901055" cy="3554095"/>
            <wp:effectExtent l="0" t="0" r="12065" b="12065"/>
            <wp:wrapNone/>
            <wp:docPr id="7" name="图片 7" descr="屏幕截图 2024-10-20 10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屏幕截图 2024-10-20 104048"/>
                    <pic:cNvPicPr>
                      <a:picLocks noChangeAspect="1"/>
                    </pic:cNvPicPr>
                  </pic:nvPicPr>
                  <pic:blipFill>
                    <a:blip r:embed="rId23"/>
                    <a:stretch>
                      <a:fillRect/>
                    </a:stretch>
                  </pic:blipFill>
                  <pic:spPr>
                    <a:xfrm>
                      <a:off x="0" y="0"/>
                      <a:ext cx="5901055" cy="3554095"/>
                    </a:xfrm>
                    <a:prstGeom prst="rect">
                      <a:avLst/>
                    </a:prstGeom>
                  </pic:spPr>
                </pic:pic>
              </a:graphicData>
            </a:graphic>
          </wp:anchor>
        </w:drawing>
      </w: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bidi w:val="0"/>
        <w:jc w:val="center"/>
        <w:rPr>
          <w:rFonts w:hint="eastAsia" w:ascii="宋体" w:hAnsi="宋体" w:eastAsia="宋体" w:cs="宋体"/>
          <w:b w:val="0"/>
          <w:bCs w:val="0"/>
          <w:color w:val="000000" w:themeColor="text1"/>
          <w:sz w:val="28"/>
          <w:szCs w:val="22"/>
          <w:lang w:val="en-US" w:eastAsia="zh-CN"/>
          <w14:textFill>
            <w14:solidFill>
              <w14:schemeClr w14:val="tx1"/>
            </w14:solidFill>
          </w14:textFill>
        </w:rPr>
      </w:pPr>
    </w:p>
    <w:p>
      <w:pPr>
        <w:spacing w:before="100" w:line="226" w:lineRule="auto"/>
        <w:ind w:left="0" w:leftChars="0" w:firstLine="0" w:firstLineChars="0"/>
        <w:rPr>
          <w:rFonts w:hint="eastAsia" w:ascii="仿宋" w:hAnsi="仿宋" w:eastAsia="仿宋" w:cs="仿宋"/>
          <w:b/>
          <w:bCs/>
          <w:spacing w:val="5"/>
          <w:sz w:val="31"/>
          <w:szCs w:val="31"/>
          <w:lang w:val="en-US"/>
        </w:rPr>
      </w:pPr>
    </w:p>
    <w:p>
      <w:pPr>
        <w:spacing w:before="100" w:line="226" w:lineRule="auto"/>
        <w:ind w:left="0" w:leftChars="0" w:firstLine="0" w:firstLineChars="0"/>
        <w:rPr>
          <w:rFonts w:hint="eastAsia" w:ascii="仿宋" w:hAnsi="仿宋" w:eastAsia="仿宋" w:cs="仿宋"/>
          <w:b/>
          <w:bCs/>
          <w:spacing w:val="5"/>
          <w:sz w:val="31"/>
          <w:szCs w:val="31"/>
          <w:lang w:val="en-US"/>
        </w:rPr>
      </w:pPr>
    </w:p>
    <w:p>
      <w:pPr>
        <w:spacing w:before="100" w:line="226" w:lineRule="auto"/>
        <w:ind w:left="0" w:leftChars="0" w:firstLine="0" w:firstLineChars="0"/>
        <w:rPr>
          <w:rFonts w:hint="eastAsia" w:ascii="仿宋" w:hAnsi="仿宋" w:eastAsia="仿宋" w:cs="仿宋"/>
          <w:b/>
          <w:bCs/>
          <w:spacing w:val="5"/>
          <w:sz w:val="31"/>
          <w:szCs w:val="31"/>
          <w:lang w:val="en-US"/>
        </w:rPr>
      </w:pPr>
    </w:p>
    <w:p>
      <w:pPr>
        <w:spacing w:before="100" w:line="226" w:lineRule="auto"/>
        <w:ind w:firstLine="964" w:firstLineChars="300"/>
        <w:rPr>
          <w:rFonts w:ascii="仿宋" w:hAnsi="仿宋" w:eastAsia="仿宋" w:cs="仿宋"/>
          <w:b/>
          <w:bCs/>
          <w:spacing w:val="5"/>
          <w:sz w:val="31"/>
          <w:szCs w:val="31"/>
          <w:lang w:val="en-US"/>
        </w:rPr>
      </w:pPr>
      <w:r>
        <w:rPr>
          <w:rFonts w:hint="eastAsia" w:ascii="仿宋" w:hAnsi="仿宋" w:eastAsia="仿宋" w:cs="仿宋"/>
          <w:b/>
          <w:bCs/>
          <w:spacing w:val="5"/>
          <w:sz w:val="31"/>
          <w:szCs w:val="31"/>
          <w:lang w:val="en-US"/>
        </w:rPr>
        <w:t>评分标准</w:t>
      </w:r>
      <w:r>
        <w:rPr>
          <w:rFonts w:hint="eastAsia" w:ascii="仿宋" w:hAnsi="仿宋" w:eastAsia="仿宋" w:cs="仿宋"/>
          <w:b/>
          <w:bCs/>
          <w:spacing w:val="5"/>
          <w:sz w:val="31"/>
          <w:szCs w:val="31"/>
        </w:rPr>
        <w:t>(随试题变化而改变)</w:t>
      </w:r>
    </w:p>
    <w:tbl>
      <w:tblPr>
        <w:tblStyle w:val="19"/>
        <w:tblW w:w="9378" w:type="dxa"/>
        <w:jc w:val="center"/>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68"/>
        <w:gridCol w:w="586"/>
        <w:gridCol w:w="1150"/>
        <w:gridCol w:w="970"/>
        <w:gridCol w:w="3945"/>
        <w:gridCol w:w="583"/>
        <w:gridCol w:w="583"/>
        <w:gridCol w:w="69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9" w:hRule="atLeast"/>
          <w:jc w:val="center"/>
        </w:trPr>
        <w:tc>
          <w:tcPr>
            <w:tcW w:w="868"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工作</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任务</w:t>
            </w:r>
          </w:p>
        </w:tc>
        <w:tc>
          <w:tcPr>
            <w:tcW w:w="586"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配分</w:t>
            </w: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评分项目</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项目</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配分</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扣分标准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得分</w:t>
            </w:r>
          </w:p>
        </w:tc>
        <w:tc>
          <w:tcPr>
            <w:tcW w:w="69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任务</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0" w:hRule="atLeast"/>
          <w:jc w:val="center"/>
        </w:trPr>
        <w:tc>
          <w:tcPr>
            <w:tcW w:w="868"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1.电气原理图</w:t>
            </w:r>
          </w:p>
        </w:tc>
        <w:tc>
          <w:tcPr>
            <w:tcW w:w="586"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原理图</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基本正确得5分，严重错误不得分，其它酌情扣分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36" w:hRule="atLeast"/>
          <w:jc w:val="center"/>
        </w:trPr>
        <w:tc>
          <w:tcPr>
            <w:tcW w:w="868"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图中符号</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符号每错一处扣0.2分，扣完为止。</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19" w:hRule="atLeast"/>
          <w:jc w:val="center"/>
        </w:trPr>
        <w:tc>
          <w:tcPr>
            <w:tcW w:w="868" w:type="dxa"/>
            <w:vMerge w:val="continue"/>
            <w:tcBorders>
              <w:top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tcBorders>
              <w:top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保护功能</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图中有保护功能如过载、短路等功能，酌情给分。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47" w:hRule="atLeast"/>
          <w:jc w:val="center"/>
        </w:trPr>
        <w:tc>
          <w:tcPr>
            <w:tcW w:w="868"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2.电源控制单元</w:t>
            </w:r>
          </w:p>
        </w:tc>
        <w:tc>
          <w:tcPr>
            <w:tcW w:w="586"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w:t>
            </w: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功能表</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功能表接线正确得满分，否则酌情扣分。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restart"/>
            <w:tcBorders>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664" w:hRule="atLeast"/>
          <w:jc w:val="center"/>
        </w:trPr>
        <w:tc>
          <w:tcPr>
            <w:tcW w:w="868"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开关</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功能开关分配（照明和插座、电气控制）正确，接线无误得满分，否则酌情扣分。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409" w:hRule="atLeast"/>
          <w:jc w:val="center"/>
        </w:trPr>
        <w:tc>
          <w:tcPr>
            <w:tcW w:w="868"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布线</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布线是否美观，是否接地线，酌情给分。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nil"/>
              <w:bottom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180" w:hRule="atLeast"/>
          <w:jc w:val="center"/>
        </w:trPr>
        <w:tc>
          <w:tcPr>
            <w:tcW w:w="868" w:type="dxa"/>
            <w:vMerge w:val="continue"/>
            <w:tcBorders>
              <w:top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tcBorders>
              <w:top w:val="nil"/>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指示</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上电指示和送电指示是否正确，各1分。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nil"/>
              <w:bottom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80" w:hRule="atLeast"/>
          <w:jc w:val="center"/>
        </w:trPr>
        <w:tc>
          <w:tcPr>
            <w:tcW w:w="868"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3.电气控制部分的连接</w:t>
            </w:r>
          </w:p>
        </w:tc>
        <w:tc>
          <w:tcPr>
            <w:tcW w:w="586"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20</w:t>
            </w: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开关</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完成开关部分连接得2分，否则不得分。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restart"/>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14"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PLC</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完成PLC部分的连接得3分，酌情扣分。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9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触摸屏</w:t>
            </w:r>
          </w:p>
        </w:tc>
        <w:tc>
          <w:tcPr>
            <w:tcW w:w="970"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完成触摸屏的连接得2分，酌情扣分。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464"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变频器</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完成变频器的连接得2分，酌情扣分。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77"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电动机</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完成电动机的连接（包括保护电器）得5分，酌情扣分。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647"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指示灯</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完成连接得满分，否则酌情扣分。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整体</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4</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美观、线号、露铜等酌情给分。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tcBorders>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tcBorders>
              <w:top w:val="single" w:color="auto" w:sz="4" w:space="0"/>
              <w:left w:val="single" w:color="auto" w:sz="4" w:space="0"/>
              <w:bottom w:val="single" w:color="auto" w:sz="4" w:space="0"/>
              <w:right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jc w:val="center"/>
        </w:trPr>
        <w:tc>
          <w:tcPr>
            <w:tcW w:w="868"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 4.功能调试</w:t>
            </w:r>
          </w:p>
        </w:tc>
        <w:tc>
          <w:tcPr>
            <w:tcW w:w="586" w:type="dxa"/>
            <w:vMerge w:val="restart"/>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25</w:t>
            </w: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触摸屏</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触摸屏内按钮图标显示正确得3分，按钮能突出显示得2分，否则示情况扣分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restart"/>
            <w:tcBorders>
              <w:top w:val="single" w:color="auto" w:sz="4" w:space="0"/>
            </w:tcBorders>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变频器</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三档参数设置正确得3分，每错一档扣1分。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53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PLC</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程序功能正确得5分（功能运行正确），程序能正确灌入PLC，得3分，否则不得分。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电动机</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电动机能按说明书要求工作，得满分，否则酌情给分。</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30" w:hRule="atLeast"/>
          <w:jc w:val="center"/>
        </w:trPr>
        <w:tc>
          <w:tcPr>
            <w:tcW w:w="868"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6"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15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en-US"/>
              </w:rPr>
            </w:pPr>
            <w:r>
              <w:rPr>
                <w:rFonts w:hint="eastAsia" w:ascii="宋体" w:hAnsi="宋体" w:eastAsia="宋体" w:cs="宋体"/>
                <w:b w:val="0"/>
                <w:bCs w:val="0"/>
                <w:spacing w:val="-6"/>
                <w:sz w:val="21"/>
                <w:szCs w:val="21"/>
                <w:lang w:val="en-US" w:eastAsia="zh-CN"/>
              </w:rPr>
              <w:t>指示灯</w:t>
            </w:r>
          </w:p>
        </w:tc>
        <w:tc>
          <w:tcPr>
            <w:tcW w:w="970"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3945" w:type="dxa"/>
            <w:shd w:val="clear" w:color="auto" w:fill="auto"/>
            <w:vAlign w:val="top"/>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指示灯按说明书要求，正确得满分，每错一处扣0.5分，扣完为止。</w:t>
            </w: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8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93" w:type="dxa"/>
            <w:vMerge w:val="continue"/>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tbl>
      <w:tblPr>
        <w:tblStyle w:val="19"/>
        <w:tblpPr w:leftFromText="180" w:rightFromText="180" w:vertAnchor="text" w:horzAnchor="page" w:tblpX="1292" w:tblpY="-47"/>
        <w:tblOverlap w:val="never"/>
        <w:tblW w:w="93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2"/>
        <w:gridCol w:w="534"/>
        <w:gridCol w:w="1207"/>
        <w:gridCol w:w="659"/>
        <w:gridCol w:w="491"/>
        <w:gridCol w:w="1093"/>
        <w:gridCol w:w="1107"/>
        <w:gridCol w:w="1492"/>
        <w:gridCol w:w="547"/>
        <w:gridCol w:w="573"/>
        <w:gridCol w:w="6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92"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 xml:space="preserve">5.其他 </w:t>
            </w:r>
          </w:p>
        </w:tc>
        <w:tc>
          <w:tcPr>
            <w:tcW w:w="534"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按下SB2</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功能正确得2分，否则不得分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92"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34"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按下SB3</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功能正确得3分，否则不得分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92"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198" w:firstLineChars="100"/>
              <w:jc w:val="both"/>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6.故障排除</w:t>
            </w:r>
          </w:p>
        </w:tc>
        <w:tc>
          <w:tcPr>
            <w:tcW w:w="534"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故障思路</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2</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排除故障思路正确，方法得当得2分，否则不得分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92"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34"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故障排除</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3</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每排除一个故障点，得4分，最高8分。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69" w:hRule="atLeast"/>
        </w:trPr>
        <w:tc>
          <w:tcPr>
            <w:tcW w:w="992"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7.职业安全</w:t>
            </w:r>
          </w:p>
        </w:tc>
        <w:tc>
          <w:tcPr>
            <w:tcW w:w="534"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15</w:t>
            </w: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职业素养</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5</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不爱护赛场设备和器材的扣2分；台位整理不干净的扣2分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vMerge w:val="restart"/>
            <w:tcBorders>
              <w:bottom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PrEx>
        <w:trPr>
          <w:trHeight w:val="569" w:hRule="atLeast"/>
        </w:trPr>
        <w:tc>
          <w:tcPr>
            <w:tcW w:w="992"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34"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20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安全生产</w:t>
            </w:r>
          </w:p>
        </w:tc>
        <w:tc>
          <w:tcPr>
            <w:tcW w:w="659"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10</w:t>
            </w:r>
          </w:p>
        </w:tc>
        <w:tc>
          <w:tcPr>
            <w:tcW w:w="4183" w:type="dxa"/>
            <w:gridSpan w:val="4"/>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left"/>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操作不符合安全生产的扣2分；通电没报告的扣2分；不穿绝缘鞋的此项不得分</w:t>
            </w:r>
          </w:p>
        </w:tc>
        <w:tc>
          <w:tcPr>
            <w:tcW w:w="547"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631" w:type="dxa"/>
            <w:vMerge w:val="continue"/>
            <w:tcBorders>
              <w:top w:val="nil"/>
            </w:tcBorders>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583" w:hRule="atLeast"/>
        </w:trPr>
        <w:tc>
          <w:tcPr>
            <w:tcW w:w="99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工时</w:t>
            </w:r>
          </w:p>
        </w:tc>
        <w:tc>
          <w:tcPr>
            <w:tcW w:w="534"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default"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120</w:t>
            </w:r>
          </w:p>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min</w:t>
            </w:r>
          </w:p>
        </w:tc>
        <w:tc>
          <w:tcPr>
            <w:tcW w:w="12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开始时间</w:t>
            </w:r>
          </w:p>
        </w:tc>
        <w:tc>
          <w:tcPr>
            <w:tcW w:w="1150" w:type="dxa"/>
            <w:gridSpan w:val="2"/>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09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结束时间</w:t>
            </w:r>
          </w:p>
        </w:tc>
        <w:tc>
          <w:tcPr>
            <w:tcW w:w="110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1492"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用时</w:t>
            </w:r>
          </w:p>
        </w:tc>
        <w:tc>
          <w:tcPr>
            <w:tcW w:w="547"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c>
          <w:tcPr>
            <w:tcW w:w="573"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r>
              <w:rPr>
                <w:rFonts w:hint="eastAsia" w:ascii="宋体" w:hAnsi="宋体" w:eastAsia="宋体" w:cs="宋体"/>
                <w:b w:val="0"/>
                <w:bCs w:val="0"/>
                <w:spacing w:val="-6"/>
                <w:sz w:val="21"/>
                <w:szCs w:val="21"/>
                <w:lang w:val="en-US" w:eastAsia="zh-CN"/>
              </w:rPr>
              <w:t>总分</w:t>
            </w:r>
          </w:p>
        </w:tc>
        <w:tc>
          <w:tcPr>
            <w:tcW w:w="631" w:type="dxa"/>
            <w:vAlign w:val="center"/>
          </w:tcPr>
          <w:p>
            <w:pPr>
              <w:pStyle w:val="18"/>
              <w:keepNext w:val="0"/>
              <w:keepLines w:val="0"/>
              <w:pageBreakBefore w:val="0"/>
              <w:widowControl w:val="0"/>
              <w:kinsoku/>
              <w:wordWrap/>
              <w:overflowPunct/>
              <w:topLinePunct w:val="0"/>
              <w:autoSpaceDE/>
              <w:autoSpaceDN/>
              <w:bidi w:val="0"/>
              <w:adjustRightInd/>
              <w:snapToGrid/>
              <w:spacing w:before="42" w:line="400" w:lineRule="exact"/>
              <w:ind w:left="0" w:leftChars="0" w:firstLine="0" w:firstLineChars="0"/>
              <w:jc w:val="center"/>
              <w:textAlignment w:val="auto"/>
              <w:rPr>
                <w:rFonts w:hint="eastAsia" w:ascii="宋体" w:hAnsi="宋体" w:eastAsia="宋体" w:cs="宋体"/>
                <w:b w:val="0"/>
                <w:bCs w:val="0"/>
                <w:spacing w:val="-6"/>
                <w:sz w:val="21"/>
                <w:szCs w:val="21"/>
                <w:lang w:val="en-US" w:eastAsia="zh-CN"/>
              </w:rPr>
            </w:pPr>
          </w:p>
        </w:tc>
      </w:tr>
    </w:tbl>
    <w:p>
      <w:pPr>
        <w:tabs>
          <w:tab w:val="left" w:pos="1943"/>
        </w:tabs>
        <w:bidi w:val="0"/>
        <w:ind w:left="0" w:leftChars="0" w:firstLine="0" w:firstLineChars="0"/>
        <w:jc w:val="left"/>
        <w:rPr>
          <w:rFonts w:hint="eastAsia"/>
          <w:lang w:val="en-US" w:eastAsia="zh-CN"/>
        </w:rPr>
      </w:pPr>
      <w:r>
        <w:drawing>
          <wp:anchor distT="0" distB="0" distL="114300" distR="114300" simplePos="0" relativeHeight="251660288" behindDoc="0" locked="0" layoutInCell="1" allowOverlap="1">
            <wp:simplePos x="0" y="0"/>
            <wp:positionH relativeFrom="column">
              <wp:posOffset>3180080</wp:posOffset>
            </wp:positionH>
            <wp:positionV relativeFrom="paragraph">
              <wp:posOffset>3352800</wp:posOffset>
            </wp:positionV>
            <wp:extent cx="2388870" cy="5599430"/>
            <wp:effectExtent l="0" t="0" r="3810" b="8890"/>
            <wp:wrapNone/>
            <wp:docPr id="11" name="图片 3" descr="图片（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图片（背面）"/>
                    <pic:cNvPicPr>
                      <a:picLocks noChangeAspect="1"/>
                    </pic:cNvPicPr>
                  </pic:nvPicPr>
                  <pic:blipFill>
                    <a:blip r:embed="rId24"/>
                    <a:stretch>
                      <a:fillRect/>
                    </a:stretch>
                  </pic:blipFill>
                  <pic:spPr>
                    <a:xfrm>
                      <a:off x="0" y="0"/>
                      <a:ext cx="2388870" cy="5599430"/>
                    </a:xfrm>
                    <a:prstGeom prst="rect">
                      <a:avLst/>
                    </a:prstGeom>
                    <a:noFill/>
                    <a:ln w="9525">
                      <a:noFill/>
                    </a:ln>
                    <a:effectLst/>
                  </pic:spPr>
                </pic:pic>
              </a:graphicData>
            </a:graphic>
          </wp:anchor>
        </w:drawing>
      </w:r>
      <w:r>
        <w:drawing>
          <wp:anchor distT="0" distB="0" distL="114300" distR="114300" simplePos="0" relativeHeight="251660288" behindDoc="0" locked="0" layoutInCell="1" allowOverlap="1">
            <wp:simplePos x="0" y="0"/>
            <wp:positionH relativeFrom="column">
              <wp:posOffset>781685</wp:posOffset>
            </wp:positionH>
            <wp:positionV relativeFrom="paragraph">
              <wp:posOffset>3357880</wp:posOffset>
            </wp:positionV>
            <wp:extent cx="2418715" cy="5583555"/>
            <wp:effectExtent l="0" t="0" r="4445" b="9525"/>
            <wp:wrapNone/>
            <wp:docPr id="9" name="图片 2" descr="图片（正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图片（正面）"/>
                    <pic:cNvPicPr>
                      <a:picLocks noChangeAspect="1"/>
                    </pic:cNvPicPr>
                  </pic:nvPicPr>
                  <pic:blipFill>
                    <a:blip r:embed="rId25"/>
                    <a:stretch>
                      <a:fillRect/>
                    </a:stretch>
                  </pic:blipFill>
                  <pic:spPr>
                    <a:xfrm>
                      <a:off x="0" y="0"/>
                      <a:ext cx="2418715" cy="5583555"/>
                    </a:xfrm>
                    <a:prstGeom prst="rect">
                      <a:avLst/>
                    </a:prstGeom>
                    <a:noFill/>
                    <a:ln w="9525">
                      <a:noFill/>
                    </a:ln>
                    <a:effectLst/>
                  </pic:spPr>
                </pic:pic>
              </a:graphicData>
            </a:graphic>
          </wp:anchor>
        </w:drawing>
      </w:r>
    </w:p>
    <w:p>
      <w:pPr>
        <w:tabs>
          <w:tab w:val="left" w:pos="1943"/>
        </w:tabs>
        <w:bidi w:val="0"/>
        <w:ind w:left="0" w:leftChars="0" w:firstLine="0" w:firstLineChars="0"/>
        <w:jc w:val="left"/>
        <w:rPr>
          <w:rFonts w:hint="eastAsia"/>
          <w:lang w:val="en-US" w:eastAsia="zh-CN"/>
        </w:rPr>
      </w:pPr>
      <w:r>
        <w:rPr>
          <w:rFonts w:hint="eastAsia"/>
          <w:lang w:val="en-US" w:eastAsia="zh-CN"/>
        </w:rPr>
        <w:t>设备照片：</w:t>
      </w:r>
    </w:p>
    <w:p>
      <w:pPr>
        <w:tabs>
          <w:tab w:val="left" w:pos="1943"/>
        </w:tabs>
        <w:bidi w:val="0"/>
        <w:ind w:left="0" w:leftChars="0" w:firstLine="0" w:firstLineChars="0"/>
        <w:jc w:val="left"/>
        <w:rPr>
          <w:rFonts w:hint="eastAsia"/>
          <w:lang w:val="en-US" w:eastAsia="zh-CN"/>
        </w:rPr>
      </w:pPr>
      <w:r>
        <w:rPr>
          <w:rFonts w:hint="eastAsia"/>
          <w:lang w:val="en-US" w:eastAsia="zh-CN"/>
        </w:rPr>
        <w:t>具体设备</w:t>
      </w:r>
    </w:p>
    <w:p>
      <w:pPr>
        <w:tabs>
          <w:tab w:val="left" w:pos="1943"/>
        </w:tabs>
        <w:bidi w:val="0"/>
        <w:ind w:left="0" w:leftChars="0" w:firstLine="0" w:firstLineChars="0"/>
        <w:jc w:val="left"/>
        <w:rPr>
          <w:rFonts w:hint="eastAsia"/>
          <w:lang w:val="en-US" w:eastAsia="zh-CN"/>
        </w:rPr>
      </w:pPr>
      <w:r>
        <w:rPr>
          <w:rFonts w:hint="eastAsia"/>
          <w:lang w:val="en-US" w:eastAsia="zh-CN"/>
        </w:rPr>
        <w:t>参数请咨询</w:t>
      </w:r>
    </w:p>
    <w:p>
      <w:pPr>
        <w:tabs>
          <w:tab w:val="left" w:pos="1943"/>
        </w:tabs>
        <w:bidi w:val="0"/>
        <w:ind w:left="0" w:leftChars="0" w:firstLine="0" w:firstLineChars="0"/>
        <w:jc w:val="left"/>
        <w:rPr>
          <w:rFonts w:hint="default"/>
          <w:lang w:val="en-US" w:eastAsia="zh-CN"/>
        </w:rPr>
      </w:pPr>
      <w:r>
        <w:rPr>
          <w:rFonts w:hint="eastAsia"/>
          <w:lang w:val="en-US" w:eastAsia="zh-CN"/>
        </w:rPr>
        <w:t>项目承办单位</w:t>
      </w: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eastAsia"/>
          <w:lang w:val="en-US" w:eastAsia="zh-CN"/>
        </w:rPr>
      </w:pPr>
    </w:p>
    <w:p>
      <w:pPr>
        <w:tabs>
          <w:tab w:val="left" w:pos="1943"/>
        </w:tabs>
        <w:bidi w:val="0"/>
        <w:ind w:left="0" w:leftChars="0" w:firstLine="0" w:firstLineChars="0"/>
        <w:jc w:val="left"/>
        <w:rPr>
          <w:rFonts w:hint="default"/>
          <w:lang w:val="en-US" w:eastAsia="zh-CN"/>
        </w:rPr>
      </w:pPr>
    </w:p>
    <w:sectPr>
      <w:footerReference r:id="rId6" w:type="default"/>
      <w:pgSz w:w="11906" w:h="16838"/>
      <w:pgMar w:top="1225" w:right="1270" w:bottom="1225" w:left="127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Garamond">
    <w:panose1 w:val="02020404030301010803"/>
    <w:charset w:val="00"/>
    <w:family w:val="roman"/>
    <w:pitch w:val="default"/>
    <w:sig w:usb0="00000287" w:usb1="00000000" w:usb2="00000000" w:usb3="00000000" w:csb0="0000009F" w:csb1="DFD70000"/>
  </w:font>
  <w:font w:name="Cambria">
    <w:panose1 w:val="02040503050406030204"/>
    <w:charset w:val="00"/>
    <w:family w:val="roman"/>
    <w:pitch w:val="default"/>
    <w:sig w:usb0="A00002EF" w:usb1="4000004B" w:usb2="00000000" w:usb3="00000000" w:csb0="2000009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080F3C52" w:usb2="00000016" w:usb3="00000000" w:csb0="0004001F" w:csb1="00000000"/>
  </w:font>
  <w:font w:name="楷体">
    <w:altName w:val="楷体_GB2312"/>
    <w:panose1 w:val="02010609060101010101"/>
    <w:charset w:val="86"/>
    <w:family w:val="auto"/>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0" w:lineRule="auto"/>
      <w:ind w:left="4645"/>
      <w:rPr>
        <w:rFonts w:hint="eastAsia" w:ascii="仿宋" w:hAnsi="仿宋" w:eastAsia="宋体" w:cs="仿宋"/>
        <w:sz w:val="18"/>
        <w:szCs w:val="18"/>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7"/>
      </w:tabs>
      <w:spacing w:line="170" w:lineRule="auto"/>
      <w:rPr>
        <w:rFonts w:hint="eastAsia" w:ascii="仿宋" w:hAnsi="仿宋" w:eastAsia="宋体" w:cs="仿宋"/>
        <w:sz w:val="18"/>
        <w:szCs w:val="18"/>
        <w:lang w:val="en-US" w:eastAsia="zh-CN"/>
      </w:rPr>
    </w:pPr>
    <w:r>
      <w:rPr>
        <w:rFonts w:hint="eastAsia"/>
        <w:sz w:val="18"/>
        <w:lang w:val="en-US"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687"/>
      </w:tabs>
      <w:spacing w:line="170" w:lineRule="auto"/>
      <w:rPr>
        <w:rFonts w:hint="eastAsia" w:ascii="仿宋" w:hAnsi="仿宋" w:eastAsia="宋体" w:cs="仿宋"/>
        <w:sz w:val="18"/>
        <w:szCs w:val="18"/>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sz w:val="18"/>
        <w:lang w:val="en-US" w:eastAsia="zh-CN"/>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84F7EA"/>
    <w:multiLevelType w:val="singleLevel"/>
    <w:tmpl w:val="6084F7EA"/>
    <w:lvl w:ilvl="0" w:tentative="0">
      <w:start w:val="3"/>
      <w:numFmt w:val="chineseCounting"/>
      <w:suff w:val="nothing"/>
      <w:lvlText w:val="%1、"/>
      <w:lvlJc w:val="left"/>
      <w:rPr>
        <w:rFonts w:hint="eastAsia"/>
      </w:rPr>
    </w:lvl>
  </w:abstractNum>
  <w:abstractNum w:abstractNumId="1">
    <w:nsid w:val="760738EC"/>
    <w:multiLevelType w:val="singleLevel"/>
    <w:tmpl w:val="760738EC"/>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ZGE2M2RjMGE4NGFjMWY3NjJlMDVlZjM2ZGQ3YjYifQ=="/>
  </w:docVars>
  <w:rsids>
    <w:rsidRoot w:val="00000000"/>
    <w:rsid w:val="00017DB4"/>
    <w:rsid w:val="000A4529"/>
    <w:rsid w:val="0079065B"/>
    <w:rsid w:val="00E77347"/>
    <w:rsid w:val="0159792A"/>
    <w:rsid w:val="017641DF"/>
    <w:rsid w:val="01922AE0"/>
    <w:rsid w:val="01A52705"/>
    <w:rsid w:val="01EE7A5F"/>
    <w:rsid w:val="025375B0"/>
    <w:rsid w:val="025E458E"/>
    <w:rsid w:val="026058E2"/>
    <w:rsid w:val="02932145"/>
    <w:rsid w:val="02A8420B"/>
    <w:rsid w:val="030C280D"/>
    <w:rsid w:val="038834A2"/>
    <w:rsid w:val="03E01910"/>
    <w:rsid w:val="044E2BE0"/>
    <w:rsid w:val="04564753"/>
    <w:rsid w:val="048F21CB"/>
    <w:rsid w:val="04994A85"/>
    <w:rsid w:val="05387388"/>
    <w:rsid w:val="0655097F"/>
    <w:rsid w:val="06641E8F"/>
    <w:rsid w:val="06714D94"/>
    <w:rsid w:val="06961102"/>
    <w:rsid w:val="07A730CB"/>
    <w:rsid w:val="07EC3997"/>
    <w:rsid w:val="081937A3"/>
    <w:rsid w:val="085B7072"/>
    <w:rsid w:val="087703BF"/>
    <w:rsid w:val="089C7D38"/>
    <w:rsid w:val="089E49B5"/>
    <w:rsid w:val="089F7EAE"/>
    <w:rsid w:val="08DC5A49"/>
    <w:rsid w:val="09493B12"/>
    <w:rsid w:val="096D1D5A"/>
    <w:rsid w:val="09857BDC"/>
    <w:rsid w:val="09E57A38"/>
    <w:rsid w:val="0A794B51"/>
    <w:rsid w:val="0B0E30C9"/>
    <w:rsid w:val="0B3C3711"/>
    <w:rsid w:val="0BE10ADD"/>
    <w:rsid w:val="0C6C00A7"/>
    <w:rsid w:val="0C871AE4"/>
    <w:rsid w:val="0CCA41FC"/>
    <w:rsid w:val="0CD04E64"/>
    <w:rsid w:val="0CDA7428"/>
    <w:rsid w:val="0CEC743A"/>
    <w:rsid w:val="0D0A554B"/>
    <w:rsid w:val="0D156CB8"/>
    <w:rsid w:val="0D4A5E8C"/>
    <w:rsid w:val="0D4D6BBA"/>
    <w:rsid w:val="0D4F17B7"/>
    <w:rsid w:val="0D50291C"/>
    <w:rsid w:val="0E0A595C"/>
    <w:rsid w:val="0E5C4463"/>
    <w:rsid w:val="0E7078EF"/>
    <w:rsid w:val="0E7C59F6"/>
    <w:rsid w:val="0EAD05D0"/>
    <w:rsid w:val="0F5B6472"/>
    <w:rsid w:val="0F8E6586"/>
    <w:rsid w:val="0FD67987"/>
    <w:rsid w:val="0FFE195E"/>
    <w:rsid w:val="108856CC"/>
    <w:rsid w:val="109B569D"/>
    <w:rsid w:val="109D0E1E"/>
    <w:rsid w:val="11114807"/>
    <w:rsid w:val="11290821"/>
    <w:rsid w:val="116D7D5F"/>
    <w:rsid w:val="11737D71"/>
    <w:rsid w:val="11C251CE"/>
    <w:rsid w:val="11F60041"/>
    <w:rsid w:val="13034873"/>
    <w:rsid w:val="1342534B"/>
    <w:rsid w:val="13532467"/>
    <w:rsid w:val="1371020B"/>
    <w:rsid w:val="13D56313"/>
    <w:rsid w:val="14DD0112"/>
    <w:rsid w:val="152131E0"/>
    <w:rsid w:val="152B4878"/>
    <w:rsid w:val="1589219B"/>
    <w:rsid w:val="15B0767C"/>
    <w:rsid w:val="1612400C"/>
    <w:rsid w:val="165B711B"/>
    <w:rsid w:val="1667472B"/>
    <w:rsid w:val="16FE6C6B"/>
    <w:rsid w:val="17C32082"/>
    <w:rsid w:val="18A4501B"/>
    <w:rsid w:val="19306900"/>
    <w:rsid w:val="1A084E49"/>
    <w:rsid w:val="1A500CDE"/>
    <w:rsid w:val="1B783AC0"/>
    <w:rsid w:val="1B7D550E"/>
    <w:rsid w:val="1BAD2058"/>
    <w:rsid w:val="1C334C16"/>
    <w:rsid w:val="1C7873F3"/>
    <w:rsid w:val="1C964CCC"/>
    <w:rsid w:val="1CE6142F"/>
    <w:rsid w:val="1D3B23F9"/>
    <w:rsid w:val="1D8A4831"/>
    <w:rsid w:val="1DBE097F"/>
    <w:rsid w:val="1DDB37DB"/>
    <w:rsid w:val="1E44197A"/>
    <w:rsid w:val="1E67588C"/>
    <w:rsid w:val="1EBE3AD8"/>
    <w:rsid w:val="1EEC32CA"/>
    <w:rsid w:val="1F4B4060"/>
    <w:rsid w:val="1F653E00"/>
    <w:rsid w:val="202F1635"/>
    <w:rsid w:val="206963B0"/>
    <w:rsid w:val="20AC37BC"/>
    <w:rsid w:val="20AD4D5A"/>
    <w:rsid w:val="20E3074A"/>
    <w:rsid w:val="210D6789"/>
    <w:rsid w:val="21286666"/>
    <w:rsid w:val="217210D8"/>
    <w:rsid w:val="218A63F9"/>
    <w:rsid w:val="21C916A0"/>
    <w:rsid w:val="220A2408"/>
    <w:rsid w:val="22525D60"/>
    <w:rsid w:val="22883CDC"/>
    <w:rsid w:val="22936C51"/>
    <w:rsid w:val="23107622"/>
    <w:rsid w:val="232F76C9"/>
    <w:rsid w:val="237226F8"/>
    <w:rsid w:val="239F4DAE"/>
    <w:rsid w:val="23A0431E"/>
    <w:rsid w:val="23A92664"/>
    <w:rsid w:val="240F5A90"/>
    <w:rsid w:val="24C85C3F"/>
    <w:rsid w:val="250D1C3E"/>
    <w:rsid w:val="258C0E3C"/>
    <w:rsid w:val="25F64996"/>
    <w:rsid w:val="2644274F"/>
    <w:rsid w:val="26BF3302"/>
    <w:rsid w:val="26F1147D"/>
    <w:rsid w:val="271A2958"/>
    <w:rsid w:val="27231852"/>
    <w:rsid w:val="27F50E28"/>
    <w:rsid w:val="28813C73"/>
    <w:rsid w:val="28C927C8"/>
    <w:rsid w:val="29E636A3"/>
    <w:rsid w:val="2A123A1F"/>
    <w:rsid w:val="2AB56C65"/>
    <w:rsid w:val="2AE23F76"/>
    <w:rsid w:val="2AE57ED3"/>
    <w:rsid w:val="2B1E0CAF"/>
    <w:rsid w:val="2B6A3EF4"/>
    <w:rsid w:val="2B774CCE"/>
    <w:rsid w:val="2B7B721F"/>
    <w:rsid w:val="2B88188B"/>
    <w:rsid w:val="2B9603B4"/>
    <w:rsid w:val="2B9D2D65"/>
    <w:rsid w:val="2BE02170"/>
    <w:rsid w:val="2CB77889"/>
    <w:rsid w:val="2CD73D18"/>
    <w:rsid w:val="2CF85B24"/>
    <w:rsid w:val="2D130E2A"/>
    <w:rsid w:val="2D3C71CA"/>
    <w:rsid w:val="2D5A760A"/>
    <w:rsid w:val="2DA40671"/>
    <w:rsid w:val="2E7B6EFF"/>
    <w:rsid w:val="2EDA52BE"/>
    <w:rsid w:val="2EEA4545"/>
    <w:rsid w:val="2F4B3C44"/>
    <w:rsid w:val="2F7307A6"/>
    <w:rsid w:val="2FBF5816"/>
    <w:rsid w:val="302A4FE3"/>
    <w:rsid w:val="302C4844"/>
    <w:rsid w:val="30464D58"/>
    <w:rsid w:val="309C4176"/>
    <w:rsid w:val="31356A60"/>
    <w:rsid w:val="31FC1174"/>
    <w:rsid w:val="32101838"/>
    <w:rsid w:val="328954E5"/>
    <w:rsid w:val="329D174E"/>
    <w:rsid w:val="32AA76CF"/>
    <w:rsid w:val="32D00AE0"/>
    <w:rsid w:val="330469DC"/>
    <w:rsid w:val="33430C1A"/>
    <w:rsid w:val="337B3ADF"/>
    <w:rsid w:val="33C55B21"/>
    <w:rsid w:val="343F5C39"/>
    <w:rsid w:val="346517BC"/>
    <w:rsid w:val="34684D49"/>
    <w:rsid w:val="346855E2"/>
    <w:rsid w:val="34D92754"/>
    <w:rsid w:val="34E36FCF"/>
    <w:rsid w:val="34FE2DBF"/>
    <w:rsid w:val="359A5B14"/>
    <w:rsid w:val="359A7F82"/>
    <w:rsid w:val="35B0053F"/>
    <w:rsid w:val="35DD2588"/>
    <w:rsid w:val="360D3EE5"/>
    <w:rsid w:val="36B3674F"/>
    <w:rsid w:val="37022931"/>
    <w:rsid w:val="3741225E"/>
    <w:rsid w:val="379F3BD6"/>
    <w:rsid w:val="37BE2421"/>
    <w:rsid w:val="38003C16"/>
    <w:rsid w:val="38787DA5"/>
    <w:rsid w:val="38B7004D"/>
    <w:rsid w:val="38C14438"/>
    <w:rsid w:val="38C60531"/>
    <w:rsid w:val="38E35AD8"/>
    <w:rsid w:val="39095109"/>
    <w:rsid w:val="3933524C"/>
    <w:rsid w:val="3950297B"/>
    <w:rsid w:val="39926B26"/>
    <w:rsid w:val="39F41B49"/>
    <w:rsid w:val="3A16260A"/>
    <w:rsid w:val="3A476A38"/>
    <w:rsid w:val="3A9C1E64"/>
    <w:rsid w:val="3AED52B7"/>
    <w:rsid w:val="3B037579"/>
    <w:rsid w:val="3B375828"/>
    <w:rsid w:val="3B382716"/>
    <w:rsid w:val="3BEA42B5"/>
    <w:rsid w:val="3C101B8D"/>
    <w:rsid w:val="3CBC20D5"/>
    <w:rsid w:val="3D1D3858"/>
    <w:rsid w:val="3D3117AF"/>
    <w:rsid w:val="3D5806CE"/>
    <w:rsid w:val="3DB8223E"/>
    <w:rsid w:val="3DF41117"/>
    <w:rsid w:val="3E410FB8"/>
    <w:rsid w:val="3E5A7DF8"/>
    <w:rsid w:val="3E5C3FF8"/>
    <w:rsid w:val="3E691DE9"/>
    <w:rsid w:val="3E707E99"/>
    <w:rsid w:val="3EC358E1"/>
    <w:rsid w:val="3EDA7E3B"/>
    <w:rsid w:val="3F603DD6"/>
    <w:rsid w:val="3F704EA1"/>
    <w:rsid w:val="3FAD2FD3"/>
    <w:rsid w:val="409320DC"/>
    <w:rsid w:val="40AA3DD0"/>
    <w:rsid w:val="410D3296"/>
    <w:rsid w:val="415B3EC1"/>
    <w:rsid w:val="418F600A"/>
    <w:rsid w:val="41A1392E"/>
    <w:rsid w:val="421B1FCB"/>
    <w:rsid w:val="431A165A"/>
    <w:rsid w:val="43335C2B"/>
    <w:rsid w:val="437F16F7"/>
    <w:rsid w:val="438663C0"/>
    <w:rsid w:val="43D4027C"/>
    <w:rsid w:val="44304C12"/>
    <w:rsid w:val="44D07B86"/>
    <w:rsid w:val="44E55FE2"/>
    <w:rsid w:val="4508235C"/>
    <w:rsid w:val="45095DB9"/>
    <w:rsid w:val="45265007"/>
    <w:rsid w:val="453334AC"/>
    <w:rsid w:val="45464C32"/>
    <w:rsid w:val="457277D5"/>
    <w:rsid w:val="458614D2"/>
    <w:rsid w:val="458D7290"/>
    <w:rsid w:val="45AF3CA8"/>
    <w:rsid w:val="45B97DD2"/>
    <w:rsid w:val="45C94763"/>
    <w:rsid w:val="46184820"/>
    <w:rsid w:val="46C71DA3"/>
    <w:rsid w:val="46D33AE7"/>
    <w:rsid w:val="46DF3663"/>
    <w:rsid w:val="46FB4A56"/>
    <w:rsid w:val="470923BB"/>
    <w:rsid w:val="472878AD"/>
    <w:rsid w:val="473867FC"/>
    <w:rsid w:val="47A44CB9"/>
    <w:rsid w:val="480941CB"/>
    <w:rsid w:val="480D1A37"/>
    <w:rsid w:val="483C7681"/>
    <w:rsid w:val="484E5B2A"/>
    <w:rsid w:val="48580735"/>
    <w:rsid w:val="486B7E48"/>
    <w:rsid w:val="48825371"/>
    <w:rsid w:val="48C72D96"/>
    <w:rsid w:val="48E97A9E"/>
    <w:rsid w:val="490270C2"/>
    <w:rsid w:val="49235FFC"/>
    <w:rsid w:val="4932504A"/>
    <w:rsid w:val="49331971"/>
    <w:rsid w:val="49AC1FE7"/>
    <w:rsid w:val="49DC6034"/>
    <w:rsid w:val="4A955AE5"/>
    <w:rsid w:val="4A984F44"/>
    <w:rsid w:val="4BA23741"/>
    <w:rsid w:val="4BF436B5"/>
    <w:rsid w:val="4C9D11F4"/>
    <w:rsid w:val="4D021D86"/>
    <w:rsid w:val="4D780152"/>
    <w:rsid w:val="4DB90697"/>
    <w:rsid w:val="4DDC004A"/>
    <w:rsid w:val="4E0D6B46"/>
    <w:rsid w:val="4E101B5B"/>
    <w:rsid w:val="4E523D53"/>
    <w:rsid w:val="4E5C151B"/>
    <w:rsid w:val="4F1531B9"/>
    <w:rsid w:val="4F47058B"/>
    <w:rsid w:val="4F560283"/>
    <w:rsid w:val="4F976D9A"/>
    <w:rsid w:val="50C06D07"/>
    <w:rsid w:val="50C64E79"/>
    <w:rsid w:val="51441F94"/>
    <w:rsid w:val="51BD6D8E"/>
    <w:rsid w:val="51EF396C"/>
    <w:rsid w:val="51F75C35"/>
    <w:rsid w:val="51FC3836"/>
    <w:rsid w:val="53A03A6C"/>
    <w:rsid w:val="54390488"/>
    <w:rsid w:val="547E4211"/>
    <w:rsid w:val="5486329D"/>
    <w:rsid w:val="55854003"/>
    <w:rsid w:val="561E35DE"/>
    <w:rsid w:val="56243BF4"/>
    <w:rsid w:val="57610B38"/>
    <w:rsid w:val="576C03A3"/>
    <w:rsid w:val="57895683"/>
    <w:rsid w:val="57D53CBB"/>
    <w:rsid w:val="57FB7AFE"/>
    <w:rsid w:val="58826ED1"/>
    <w:rsid w:val="58D06F50"/>
    <w:rsid w:val="592A1167"/>
    <w:rsid w:val="59816B33"/>
    <w:rsid w:val="59C32BF9"/>
    <w:rsid w:val="5A0718B5"/>
    <w:rsid w:val="5A07600C"/>
    <w:rsid w:val="5A0E0479"/>
    <w:rsid w:val="5A39015A"/>
    <w:rsid w:val="5AAB5574"/>
    <w:rsid w:val="5AAE2C06"/>
    <w:rsid w:val="5AB32173"/>
    <w:rsid w:val="5BAC74F7"/>
    <w:rsid w:val="5BC26BD3"/>
    <w:rsid w:val="5BDA70C8"/>
    <w:rsid w:val="5BEA7AC7"/>
    <w:rsid w:val="5C030F02"/>
    <w:rsid w:val="5C5655E2"/>
    <w:rsid w:val="5CA23F1A"/>
    <w:rsid w:val="5D1B3E18"/>
    <w:rsid w:val="5DC866D4"/>
    <w:rsid w:val="5E451BA8"/>
    <w:rsid w:val="5E46545C"/>
    <w:rsid w:val="5E6F1215"/>
    <w:rsid w:val="5E7C02FF"/>
    <w:rsid w:val="5EAE4A5A"/>
    <w:rsid w:val="5F657F10"/>
    <w:rsid w:val="60A26D69"/>
    <w:rsid w:val="60B75939"/>
    <w:rsid w:val="611E3F14"/>
    <w:rsid w:val="61F658B1"/>
    <w:rsid w:val="6238579C"/>
    <w:rsid w:val="627C2EAC"/>
    <w:rsid w:val="62D35345"/>
    <w:rsid w:val="62DB7791"/>
    <w:rsid w:val="63007D03"/>
    <w:rsid w:val="637F3391"/>
    <w:rsid w:val="638F4F42"/>
    <w:rsid w:val="639E15B9"/>
    <w:rsid w:val="64452FC9"/>
    <w:rsid w:val="64B557C2"/>
    <w:rsid w:val="65414A5B"/>
    <w:rsid w:val="65666A6B"/>
    <w:rsid w:val="66490E8D"/>
    <w:rsid w:val="665C36D3"/>
    <w:rsid w:val="67285792"/>
    <w:rsid w:val="67884F6D"/>
    <w:rsid w:val="67BF11A0"/>
    <w:rsid w:val="67EF2AFC"/>
    <w:rsid w:val="67FC3CC5"/>
    <w:rsid w:val="693410C2"/>
    <w:rsid w:val="69441891"/>
    <w:rsid w:val="69C43C55"/>
    <w:rsid w:val="69D7583C"/>
    <w:rsid w:val="6A0C32D1"/>
    <w:rsid w:val="6A16556C"/>
    <w:rsid w:val="6A7C018E"/>
    <w:rsid w:val="6A970455"/>
    <w:rsid w:val="6A9A31A7"/>
    <w:rsid w:val="6AB07492"/>
    <w:rsid w:val="6AF33680"/>
    <w:rsid w:val="6B9320D0"/>
    <w:rsid w:val="6BF36F63"/>
    <w:rsid w:val="6C9E135F"/>
    <w:rsid w:val="6CE1330F"/>
    <w:rsid w:val="6CED586B"/>
    <w:rsid w:val="6DAA127A"/>
    <w:rsid w:val="6E105C5A"/>
    <w:rsid w:val="6EFF5CA7"/>
    <w:rsid w:val="6F046E40"/>
    <w:rsid w:val="6F6D4C06"/>
    <w:rsid w:val="6F8A0689"/>
    <w:rsid w:val="6FBD3BBF"/>
    <w:rsid w:val="6FC06168"/>
    <w:rsid w:val="6FEC0000"/>
    <w:rsid w:val="701240E1"/>
    <w:rsid w:val="708F31E5"/>
    <w:rsid w:val="70BF3967"/>
    <w:rsid w:val="70DF34AF"/>
    <w:rsid w:val="711E57A5"/>
    <w:rsid w:val="71756B74"/>
    <w:rsid w:val="718D3145"/>
    <w:rsid w:val="71DC1652"/>
    <w:rsid w:val="720B6F53"/>
    <w:rsid w:val="72273C06"/>
    <w:rsid w:val="72B0320A"/>
    <w:rsid w:val="72FA2A34"/>
    <w:rsid w:val="73471BD1"/>
    <w:rsid w:val="741C4BD0"/>
    <w:rsid w:val="74291A3C"/>
    <w:rsid w:val="74380D87"/>
    <w:rsid w:val="74483A86"/>
    <w:rsid w:val="75593C58"/>
    <w:rsid w:val="75BB712E"/>
    <w:rsid w:val="76206C56"/>
    <w:rsid w:val="776220A0"/>
    <w:rsid w:val="776F5C33"/>
    <w:rsid w:val="78485FF0"/>
    <w:rsid w:val="78885500"/>
    <w:rsid w:val="78A3675A"/>
    <w:rsid w:val="78B36708"/>
    <w:rsid w:val="79553567"/>
    <w:rsid w:val="7A1A0982"/>
    <w:rsid w:val="7AD51CF9"/>
    <w:rsid w:val="7B8478F5"/>
    <w:rsid w:val="7C087CD3"/>
    <w:rsid w:val="7C314F8E"/>
    <w:rsid w:val="7C6349A9"/>
    <w:rsid w:val="7C85735B"/>
    <w:rsid w:val="7C93722D"/>
    <w:rsid w:val="7CD27F99"/>
    <w:rsid w:val="7CE04776"/>
    <w:rsid w:val="7D5A163D"/>
    <w:rsid w:val="7D621B3A"/>
    <w:rsid w:val="7D7653AD"/>
    <w:rsid w:val="7DDA3B8E"/>
    <w:rsid w:val="7E384516"/>
    <w:rsid w:val="7E7347A5"/>
    <w:rsid w:val="7F1E3F4E"/>
    <w:rsid w:val="7F657AB0"/>
    <w:rsid w:val="7FA02BB5"/>
    <w:rsid w:val="7FB36445"/>
    <w:rsid w:val="7FCB27F0"/>
    <w:rsid w:val="7FE409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ind w:firstLine="880" w:firstLineChars="20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9"/>
    <w:pPr>
      <w:keepNext/>
      <w:keepLines/>
      <w:spacing w:before="40" w:after="40" w:line="240" w:lineRule="auto"/>
      <w:outlineLvl w:val="0"/>
    </w:pPr>
    <w:rPr>
      <w:b/>
      <w:bCs/>
      <w:kern w:val="44"/>
      <w:sz w:val="32"/>
      <w:szCs w:val="44"/>
    </w:rPr>
  </w:style>
  <w:style w:type="paragraph" w:styleId="3">
    <w:name w:val="heading 2"/>
    <w:basedOn w:val="1"/>
    <w:next w:val="1"/>
    <w:link w:val="14"/>
    <w:qFormat/>
    <w:uiPriority w:val="0"/>
    <w:pPr>
      <w:keepNext/>
      <w:keepLines/>
      <w:spacing w:before="40" w:line="240" w:lineRule="auto"/>
      <w:ind w:firstLine="880" w:firstLineChars="200"/>
      <w:outlineLvl w:val="1"/>
    </w:pPr>
    <w:rPr>
      <w:rFonts w:ascii="Arial" w:hAnsi="Arial"/>
      <w:b/>
      <w:bCs/>
      <w:sz w:val="28"/>
      <w:szCs w:val="32"/>
    </w:rPr>
  </w:style>
  <w:style w:type="character" w:default="1" w:styleId="11">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4">
    <w:name w:val="Body Text"/>
    <w:basedOn w:val="1"/>
    <w:unhideWhenUsed/>
    <w:qFormat/>
    <w:uiPriority w:val="1"/>
    <w:rPr>
      <w:rFonts w:hint="eastAsia"/>
      <w:sz w:val="24"/>
    </w:rPr>
  </w:style>
  <w:style w:type="paragraph" w:styleId="5">
    <w:name w:val="footer"/>
    <w:basedOn w:val="1"/>
    <w:unhideWhenUsed/>
    <w:qFormat/>
    <w:uiPriority w:val="99"/>
    <w:pPr>
      <w:tabs>
        <w:tab w:val="center" w:pos="4153"/>
        <w:tab w:val="right" w:pos="8306"/>
      </w:tabs>
      <w:snapToGrid w:val="0"/>
      <w:jc w:val="left"/>
    </w:pPr>
    <w:rPr>
      <w:kern w:val="2"/>
      <w:sz w:val="18"/>
    </w:rPr>
  </w:style>
  <w:style w:type="paragraph" w:styleId="6">
    <w:name w:val="header"/>
    <w:basedOn w:val="1"/>
    <w:qFormat/>
    <w:uiPriority w:val="0"/>
    <w:pPr>
      <w:keepLines/>
      <w:widowControl/>
      <w:pBdr>
        <w:bottom w:val="single" w:color="auto" w:sz="4" w:space="1"/>
      </w:pBdr>
      <w:tabs>
        <w:tab w:val="center" w:pos="-18551"/>
        <w:tab w:val="right" w:pos="4320"/>
      </w:tabs>
      <w:spacing w:after="480" w:line="240" w:lineRule="atLeast"/>
      <w:jc w:val="center"/>
    </w:pPr>
    <w:rPr>
      <w:rFonts w:ascii="Garamond" w:hAnsi="Garamond"/>
      <w:smallCaps/>
      <w:spacing w:val="15"/>
      <w:kern w:val="0"/>
      <w:szCs w:val="20"/>
    </w:rPr>
  </w:style>
  <w:style w:type="paragraph" w:styleId="7">
    <w:name w:val="toc 1"/>
    <w:basedOn w:val="1"/>
    <w:next w:val="1"/>
    <w:unhideWhenUsed/>
    <w:qFormat/>
    <w:uiPriority w:val="39"/>
  </w:style>
  <w:style w:type="paragraph" w:styleId="8">
    <w:name w:val="toc 2"/>
    <w:basedOn w:val="1"/>
    <w:next w:val="1"/>
    <w:unhideWhenUsed/>
    <w:qFormat/>
    <w:uiPriority w:val="39"/>
    <w:pPr>
      <w:ind w:left="0" w:leftChars="0"/>
    </w:pPr>
    <w:rPr>
      <w:rFonts w:ascii="Calibri" w:hAnsi="Calibri"/>
      <w:b/>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2">
    <w:name w:val="page number"/>
    <w:basedOn w:val="11"/>
    <w:qFormat/>
    <w:uiPriority w:val="0"/>
  </w:style>
  <w:style w:type="character" w:styleId="13">
    <w:name w:val="Hyperlink"/>
    <w:basedOn w:val="11"/>
    <w:unhideWhenUsed/>
    <w:qFormat/>
    <w:uiPriority w:val="99"/>
    <w:rPr>
      <w:color w:val="0000FF"/>
      <w:u w:val="single"/>
    </w:rPr>
  </w:style>
  <w:style w:type="character" w:customStyle="1" w:styleId="14">
    <w:name w:val="标题 2 Char"/>
    <w:link w:val="3"/>
    <w:qFormat/>
    <w:uiPriority w:val="0"/>
    <w:rPr>
      <w:rFonts w:ascii="Arial" w:hAnsi="Arial" w:eastAsia="宋体"/>
      <w:b/>
      <w:bCs/>
      <w:sz w:val="28"/>
      <w:szCs w:val="32"/>
    </w:rPr>
  </w:style>
  <w:style w:type="paragraph" w:customStyle="1" w:styleId="15">
    <w:name w:val="_Style 4"/>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6">
    <w:name w:val="样式1"/>
    <w:basedOn w:val="1"/>
    <w:qFormat/>
    <w:uiPriority w:val="0"/>
    <w:pPr>
      <w:pBdr>
        <w:top w:val="single" w:color="auto" w:sz="4" w:space="1"/>
      </w:pBdr>
    </w:pPr>
    <w:rPr>
      <w:rFonts w:ascii="隶书" w:eastAsia="隶书"/>
    </w:rPr>
  </w:style>
  <w:style w:type="paragraph" w:styleId="17">
    <w:name w:val="List Paragraph"/>
    <w:basedOn w:val="1"/>
    <w:unhideWhenUsed/>
    <w:qFormat/>
    <w:uiPriority w:val="1"/>
    <w:pPr>
      <w:spacing w:before="190"/>
      <w:ind w:left="723" w:hanging="566"/>
    </w:pPr>
    <w:rPr>
      <w:rFonts w:hint="eastAsia" w:ascii="黑体" w:hAnsi="黑体" w:eastAsia="黑体"/>
      <w:sz w:val="24"/>
    </w:rPr>
  </w:style>
  <w:style w:type="paragraph" w:customStyle="1" w:styleId="18">
    <w:name w:val="Table Text"/>
    <w:basedOn w:val="1"/>
    <w:semiHidden/>
    <w:qFormat/>
    <w:uiPriority w:val="0"/>
    <w:rPr>
      <w:rFonts w:ascii="仿宋" w:hAnsi="仿宋" w:eastAsia="仿宋" w:cs="仿宋"/>
      <w:sz w:val="28"/>
      <w:szCs w:val="28"/>
      <w:lang w:val="en-US" w:eastAsia="en-US" w:bidi="ar-SA"/>
    </w:rPr>
  </w:style>
  <w:style w:type="table" w:customStyle="1" w:styleId="19">
    <w:name w:val="Table Normal"/>
    <w:semiHidden/>
    <w:unhideWhenUsed/>
    <w:qFormat/>
    <w:uiPriority w:val="0"/>
    <w:tblPr>
      <w:tblLayout w:type="fixed"/>
      <w:tblCellMar>
        <w:top w:w="0" w:type="dxa"/>
        <w:left w:w="0" w:type="dxa"/>
        <w:bottom w:w="0" w:type="dxa"/>
        <w:right w:w="0" w:type="dxa"/>
      </w:tblCellMar>
    </w:tblPr>
  </w:style>
  <w:style w:type="paragraph" w:customStyle="1" w:styleId="20">
    <w:name w:val="Table Paragraph"/>
    <w:basedOn w:val="1"/>
    <w:qFormat/>
    <w:uiPriority w:val="1"/>
    <w:pPr>
      <w:spacing w:before="50"/>
      <w:ind w:hanging="101"/>
    </w:p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8931</Words>
  <Characters>9516</Characters>
  <Lines>0</Lines>
  <Paragraphs>0</Paragraphs>
  <TotalTime>32</TotalTime>
  <ScaleCrop>false</ScaleCrop>
  <LinksUpToDate>false</LinksUpToDate>
  <CharactersWithSpaces>9753</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田田</cp:lastModifiedBy>
  <dcterms:modified xsi:type="dcterms:W3CDTF">2025-08-08T01:39:55Z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7F3339E47FDA424CB3D1FD37D24DCDB6_13</vt:lpwstr>
  </property>
  <property fmtid="{D5CDD505-2E9C-101B-9397-08002B2CF9AE}" pid="4" name="KSOTemplateDocerSaveRecord">
    <vt:lpwstr>eyJoZGlkIjoiNjkzZGE2M2RjMGE4NGFjMWY3NjJlMDVlZjM2ZGQ3YjYiLCJ1c2VySWQiOiI0MDYwNTg3MDUifQ==</vt:lpwstr>
  </property>
</Properties>
</file>