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简体"/>
          <w:sz w:val="44"/>
          <w:szCs w:val="44"/>
        </w:rPr>
        <w:t>第</w:t>
      </w:r>
      <w:r>
        <w:rPr>
          <w:rFonts w:hint="eastAsia" w:ascii="方正小标宋简体" w:eastAsia="方正小标宋简体" w:cs="方正小标宋简体"/>
          <w:sz w:val="44"/>
          <w:szCs w:val="44"/>
          <w:lang w:val="en-US" w:eastAsia="zh-CN"/>
        </w:rPr>
        <w:t>七</w:t>
      </w:r>
      <w:r>
        <w:rPr>
          <w:rFonts w:hint="eastAsia" w:ascii="方正小标宋简体" w:eastAsia="方正小标宋简体" w:cs="方正小标宋简体"/>
          <w:sz w:val="44"/>
          <w:szCs w:val="44"/>
        </w:rPr>
        <w:t>届长治技能大赛技术文件</w:t>
      </w:r>
    </w:p>
    <w:p>
      <w:pPr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/>
          <w:sz w:val="52"/>
          <w:szCs w:val="52"/>
          <w:lang w:val="en-US" w:eastAsia="zh-CN"/>
        </w:rPr>
      </w:pPr>
      <w:bookmarkStart w:id="44" w:name="_GoBack"/>
      <w:r>
        <w:rPr>
          <w:rFonts w:hint="eastAsia" w:ascii="微软雅黑" w:hAnsi="微软雅黑" w:eastAsia="微软雅黑"/>
          <w:sz w:val="52"/>
          <w:szCs w:val="52"/>
          <w:lang w:val="en-US" w:eastAsia="zh-CN"/>
        </w:rPr>
        <w:t>砌  筑</w:t>
      </w:r>
    </w:p>
    <w:bookmarkEnd w:id="44"/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drawing>
          <wp:inline distT="0" distB="0" distL="114300" distR="114300">
            <wp:extent cx="1861185" cy="1758315"/>
            <wp:effectExtent l="0" t="0" r="571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both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hint="eastAsia" w:ascii="方正小标宋简体" w:eastAsia="方正小标宋简体" w:cs="方正小标宋简体"/>
          <w:sz w:val="32"/>
          <w:szCs w:val="32"/>
        </w:rPr>
      </w:pPr>
    </w:p>
    <w:p>
      <w:pPr>
        <w:jc w:val="center"/>
        <w:rPr>
          <w:rFonts w:hint="eastAsia" w:ascii="方正小标宋简体" w:eastAsia="方正小标宋简体" w:cs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 w:cs="方正小标宋简体"/>
          <w:sz w:val="32"/>
          <w:szCs w:val="32"/>
        </w:rPr>
        <w:t>第</w:t>
      </w:r>
      <w:r>
        <w:rPr>
          <w:rFonts w:hint="eastAsia" w:ascii="方正小标宋简体" w:eastAsia="方正小标宋简体" w:cs="方正小标宋简体"/>
          <w:sz w:val="32"/>
          <w:szCs w:val="32"/>
          <w:lang w:val="en-US" w:eastAsia="zh-CN"/>
        </w:rPr>
        <w:t>七</w:t>
      </w:r>
      <w:r>
        <w:rPr>
          <w:rFonts w:hint="eastAsia" w:ascii="方正小标宋简体" w:eastAsia="方正小标宋简体" w:cs="方正小标宋简体"/>
          <w:sz w:val="32"/>
          <w:szCs w:val="32"/>
        </w:rPr>
        <w:t>届长治技能大赛组委会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ascii="方正小标宋简体" w:eastAsia="方正小标宋简体" w:cs="方正小标宋简体"/>
          <w:sz w:val="32"/>
          <w:szCs w:val="32"/>
        </w:rPr>
        <w:t>202</w:t>
      </w:r>
      <w:r>
        <w:rPr>
          <w:rFonts w:hint="eastAsia" w:ascii="方正小标宋简体" w:eastAsia="方正小标宋简体" w:cs="方正小标宋简体"/>
          <w:sz w:val="32"/>
          <w:szCs w:val="32"/>
          <w:lang w:val="en-US" w:eastAsia="zh-CN"/>
        </w:rPr>
        <w:t>5</w:t>
      </w:r>
      <w:r>
        <w:rPr>
          <w:rFonts w:hint="eastAsia" w:ascii="方正小标宋简体" w:eastAsia="方正小标宋简体" w:cs="方正小标宋简体"/>
          <w:sz w:val="32"/>
          <w:szCs w:val="32"/>
        </w:rPr>
        <w:t>年</w:t>
      </w:r>
      <w:r>
        <w:rPr>
          <w:rFonts w:hint="eastAsia" w:ascii="方正小标宋简体" w:eastAsia="方正小标宋简体" w:cs="方正小标宋简体"/>
          <w:sz w:val="32"/>
          <w:szCs w:val="32"/>
          <w:lang w:val="en-US" w:eastAsia="zh-CN"/>
        </w:rPr>
        <w:t>8</w:t>
      </w:r>
      <w:r>
        <w:rPr>
          <w:rFonts w:hint="eastAsia" w:ascii="方正小标宋简体" w:eastAsia="方正小标宋简体" w:cs="方正小标宋简体"/>
          <w:sz w:val="32"/>
          <w:szCs w:val="32"/>
        </w:rPr>
        <w:t>月</w:t>
      </w:r>
    </w:p>
    <w:p>
      <w:pPr>
        <w:rPr>
          <w:rFonts w:eastAsia="仿宋_GB2312"/>
          <w:sz w:val="32"/>
          <w:szCs w:val="32"/>
        </w:rPr>
      </w:pPr>
    </w:p>
    <w:p>
      <w:pPr>
        <w:pStyle w:val="12"/>
        <w:tabs>
          <w:tab w:val="right" w:leader="dot" w:pos="8306"/>
        </w:tabs>
        <w:jc w:val="center"/>
        <w:rPr>
          <w:rFonts w:hint="eastAsia"/>
          <w:bCs/>
          <w:sz w:val="32"/>
          <w:szCs w:val="40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12"/>
        <w:tabs>
          <w:tab w:val="right" w:leader="dot" w:pos="8306"/>
        </w:tabs>
        <w:jc w:val="center"/>
        <w:rPr>
          <w:b w:val="0"/>
          <w:bCs/>
          <w:sz w:val="32"/>
          <w:szCs w:val="40"/>
        </w:rPr>
      </w:pPr>
      <w:r>
        <w:rPr>
          <w:rFonts w:hint="eastAsia"/>
          <w:bCs/>
          <w:sz w:val="32"/>
          <w:szCs w:val="40"/>
        </w:rPr>
        <w:t>目</w:t>
      </w:r>
      <w:r>
        <w:rPr>
          <w:bCs/>
          <w:sz w:val="32"/>
          <w:szCs w:val="40"/>
        </w:rPr>
        <w:t xml:space="preserve"> </w:t>
      </w:r>
      <w:r>
        <w:rPr>
          <w:rFonts w:hint="eastAsia"/>
          <w:bCs/>
          <w:sz w:val="32"/>
          <w:szCs w:val="40"/>
        </w:rPr>
        <w:t>录</w:t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szCs w:val="52"/>
        </w:rPr>
        <w:fldChar w:fldCharType="begin"/>
      </w:r>
      <w:r>
        <w:rPr>
          <w:szCs w:val="52"/>
        </w:rPr>
        <w:instrText xml:space="preserve"> TOC \o "1-2" \h \z \u </w:instrText>
      </w:r>
      <w:r>
        <w:rPr>
          <w:szCs w:val="52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_Toc17116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1.项目介绍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_Toc17116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_Toc29348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1.1项目描述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_Toc29348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_Toc1863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1.2考核标准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_Toc1863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_Toc16475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1.3选手应具备的能力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_Toc16475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_Toc18266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2.竞赛项目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_Toc18266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_Toc5657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2.1竞赛内容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_Toc5657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_Toc20310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2.2竞赛时间安排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_Toc20310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_Toc287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3.评判标准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_Toc287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_Toc10613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3.1分数和成绩计算方法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_Toc10613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_Toc13523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/>
        </w:rPr>
        <w:t>3.2评分标准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_Toc13523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_Toc3405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3.3客观和主观评分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_Toc3405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8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_Toc15629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3.3.2 评价分（主观）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_Toc15629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8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_Toc18287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3.4裁判员组成和分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工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_Toc18287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9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_Toc19414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3.4.1裁判长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_Toc19414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9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_Toc17070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4.竞赛相关设施设备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_Toc17070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9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_Toc17905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.1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赛场</w:t>
      </w:r>
      <w:r>
        <w:rPr>
          <w:rFonts w:hint="eastAsia" w:ascii="宋体" w:hAnsi="宋体" w:eastAsia="宋体" w:cs="宋体"/>
          <w:sz w:val="28"/>
          <w:szCs w:val="28"/>
        </w:rPr>
        <w:t>材料准备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_Toc17905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9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_Toc26869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4.2选手自带物品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_Toc26869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_Toc3310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3裁判组材料准备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_Toc3310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_Toc32675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5.项目特别规定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_Toc32675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_Toc15000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5.1 赛前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_Toc15000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_Toc944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5.2 赛中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_Toc944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13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_Toc24819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5.3 违规情形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_Toc24819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13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_Toc27702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sz w:val="28"/>
          <w:szCs w:val="28"/>
          <w:lang w:val="en-US" w:eastAsia="zh-CN"/>
        </w:rPr>
        <w:t>6.健康、安全和环保要求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_Toc27702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ind w:firstLine="281" w:firstLineChars="1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_Toc15156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6.1 比赛环境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_Toc15156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ind w:firstLine="281" w:firstLineChars="1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6.2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_Toc11799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</w:rPr>
        <w:t>每个竞赛工位的面积约为16平米如图所示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_Toc11799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3"/>
        <w:tabs>
          <w:tab w:val="right" w:leader="dot" w:pos="8306"/>
        </w:tabs>
        <w:ind w:left="0" w:leftChars="0" w:firstLine="280" w:firstLineChars="100"/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_Toc29124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6.3 环境保护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_Toc29124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4"/>
        <w:ind w:left="0" w:firstLine="0" w:firstLineChars="0"/>
        <w:rPr>
          <w:rFonts w:hint="default" w:eastAsia="宋体"/>
          <w:b/>
          <w:bCs/>
          <w:color w:val="0000FF"/>
          <w:szCs w:val="52"/>
          <w:lang w:val="en-US" w:eastAsia="zh-CN"/>
        </w:rPr>
      </w:pPr>
      <w:r>
        <w:rPr>
          <w:szCs w:val="52"/>
        </w:rPr>
        <w:fldChar w:fldCharType="end"/>
      </w:r>
    </w:p>
    <w:p>
      <w:pPr>
        <w:pStyle w:val="14"/>
        <w:ind w:left="0" w:firstLine="0" w:firstLineChars="0"/>
        <w:rPr>
          <w:szCs w:val="52"/>
          <w:lang w:val="en-US"/>
        </w:rPr>
      </w:pPr>
    </w:p>
    <w:p>
      <w:pPr>
        <w:pStyle w:val="14"/>
        <w:ind w:left="0" w:firstLine="0" w:firstLineChars="0"/>
        <w:rPr>
          <w:szCs w:val="52"/>
          <w:lang w:val="en-US"/>
        </w:rPr>
      </w:pPr>
    </w:p>
    <w:p>
      <w:pPr>
        <w:pStyle w:val="14"/>
        <w:ind w:left="0" w:firstLine="0" w:firstLineChars="0"/>
        <w:rPr>
          <w:szCs w:val="52"/>
          <w:lang w:val="en-US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default" w:ascii="宋体" w:hAnsi="宋体" w:cs="等线"/>
          <w:sz w:val="21"/>
          <w:szCs w:val="21"/>
          <w:lang w:val="en-US" w:eastAsia="zh-CN"/>
        </w:rPr>
      </w:pPr>
      <w:bookmarkStart w:id="0" w:name="_Toc31946"/>
      <w:bookmarkStart w:id="1" w:name="_Toc17666"/>
      <w:bookmarkStart w:id="2" w:name="_Toc23410"/>
      <w:bookmarkStart w:id="3" w:name="_Toc17496_WPSOffice_Level2"/>
      <w:bookmarkStart w:id="4" w:name="_Toc31991_WPSOffice_Level2"/>
      <w:bookmarkStart w:id="5" w:name="_Toc29745_WPSOffice_Level2"/>
      <w:r>
        <w:rPr>
          <w:rFonts w:hint="eastAsia" w:ascii="宋体" w:hAnsi="宋体" w:cs="等线"/>
          <w:sz w:val="21"/>
          <w:szCs w:val="21"/>
          <w:lang w:val="en-US" w:eastAsia="zh-CN"/>
        </w:rPr>
        <w:t>本文件按照国家职业技能标准（三级）及以上要求，结合砌筑工作实际，适当吸收世界技能大赛相关技术要求。比赛时的</w:t>
      </w:r>
      <w:r>
        <w:rPr>
          <w:rFonts w:hint="default" w:ascii="宋体" w:hAnsi="宋体" w:cs="等线"/>
          <w:sz w:val="21"/>
          <w:szCs w:val="21"/>
          <w:lang w:val="en-US" w:eastAsia="zh-CN"/>
        </w:rPr>
        <w:t>试题可做不超过</w:t>
      </w:r>
      <w:r>
        <w:rPr>
          <w:rFonts w:hint="eastAsia" w:ascii="宋体" w:hAnsi="宋体" w:cs="等线"/>
          <w:sz w:val="21"/>
          <w:szCs w:val="21"/>
          <w:lang w:val="en-US" w:eastAsia="zh-CN"/>
        </w:rPr>
        <w:t>2</w:t>
      </w:r>
      <w:r>
        <w:rPr>
          <w:rFonts w:hint="default" w:ascii="宋体" w:hAnsi="宋体" w:cs="等线"/>
          <w:sz w:val="21"/>
          <w:szCs w:val="21"/>
          <w:lang w:val="en-US" w:eastAsia="zh-CN"/>
        </w:rPr>
        <w:t>0%的调整，在赛前裁判员集中培训时</w:t>
      </w: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讨论确定修改内容并予以说明。未尽事宜，将在补充通知及赛前项目技术交流时予以说明。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default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本文件依据第五届全省职业技能大赛《技术规则》编制，如遇本文件与《技术规则》原则冲突，以《技术规则》为准。本文件由本项目专家组长负责解释。 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textAlignment w:val="auto"/>
        <w:rPr>
          <w:rFonts w:hint="eastAsia" w:ascii="黑体" w:hAnsi="黑体" w:eastAsia="黑体" w:cs="黑体"/>
          <w:b/>
          <w:bCs w:val="0"/>
          <w:lang w:val="en-US" w:eastAsia="zh-CN"/>
        </w:rPr>
      </w:pPr>
      <w:bookmarkStart w:id="6" w:name="_Toc17116"/>
      <w:r>
        <w:rPr>
          <w:rFonts w:hint="eastAsia" w:ascii="黑体" w:hAnsi="黑体" w:eastAsia="黑体" w:cs="黑体"/>
          <w:b/>
          <w:bCs w:val="0"/>
          <w:lang w:val="en-US" w:eastAsia="zh-CN"/>
        </w:rPr>
        <w:t>1.项目介绍</w:t>
      </w:r>
      <w:bookmarkEnd w:id="6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240" w:lineRule="auto"/>
        <w:textAlignment w:val="auto"/>
        <w:rPr>
          <w:rFonts w:ascii="宋体" w:hAnsi="宋体" w:cs="宋体"/>
          <w:b/>
          <w:bCs/>
        </w:rPr>
      </w:pPr>
      <w:bookmarkStart w:id="7" w:name="_Toc29348"/>
      <w:r>
        <w:rPr>
          <w:rFonts w:ascii="宋体" w:hAnsi="宋体" w:cs="宋体"/>
          <w:b/>
          <w:bCs/>
        </w:rPr>
        <w:t>1.1</w:t>
      </w:r>
      <w:r>
        <w:rPr>
          <w:rFonts w:hint="eastAsia" w:ascii="宋体" w:hAnsi="宋体" w:cs="宋体"/>
          <w:b/>
          <w:bCs/>
        </w:rPr>
        <w:t>项目描述</w:t>
      </w:r>
      <w:bookmarkEnd w:id="7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ascii="宋体" w:hAnsi="宋体" w:cs="等线"/>
          <w:sz w:val="21"/>
          <w:szCs w:val="21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>砌筑工主要在工业与民用建筑砌体工程中进行施工，砌体工程是建筑工程的主体结构重要组成部分。砌筑工是用手工利用砂浆或其他胶凝材料按建筑物、构筑物设计及技术规范要求，将砖石、砌块、瓦块砌铺成各种形状的砌体、挂瓦等工作的专业技能人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>砌筑主要在工业与民用建筑施工中进行，包括砌砖、石、砌块等内容， 通过具体工作，建造内外墙、隔板、烟囱和其他建筑物及构筑物，主要包括：选择和制备灰浆；修建内、外墙和隔板；在砌筑墙上安装预埋材料；在工业建筑和民用建筑烟囱上砌筑弧形砖石；在烟囱和烟窗等上耐火砖施工；在窑炉和贮水池等上耐酸砖施工；修建园墙、人行小道、拱门、露台和阳台；精确切割石头、砖、木料和其他高密度砌筑材料；用螺栓、拉筋或金属网加固砌筑结构等具体工作内容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240" w:lineRule="auto"/>
        <w:textAlignment w:val="auto"/>
        <w:rPr>
          <w:rFonts w:ascii="宋体" w:hAnsi="宋体" w:cs="宋体"/>
          <w:b/>
          <w:bCs/>
        </w:rPr>
      </w:pPr>
      <w:bookmarkStart w:id="8" w:name="_Toc1863"/>
      <w:r>
        <w:rPr>
          <w:rFonts w:ascii="宋体" w:hAnsi="宋体" w:cs="宋体"/>
          <w:b/>
          <w:bCs/>
        </w:rPr>
        <w:t>1.2</w:t>
      </w:r>
      <w:r>
        <w:rPr>
          <w:rFonts w:hint="eastAsia" w:ascii="宋体" w:hAnsi="宋体" w:cs="宋体"/>
          <w:b/>
          <w:bCs/>
        </w:rPr>
        <w:t>考核标准</w:t>
      </w:r>
      <w:bookmarkEnd w:id="8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>现行建筑工程国家和行业规范标准；现行国家职业技能标准、职业技能考评标准砌筑工高级工标准。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240" w:lineRule="auto"/>
        <w:textAlignment w:val="auto"/>
        <w:rPr>
          <w:rFonts w:ascii="宋体" w:hAnsi="宋体" w:cs="宋体"/>
          <w:b/>
          <w:bCs/>
        </w:rPr>
      </w:pPr>
      <w:bookmarkStart w:id="9" w:name="_Toc16475"/>
      <w:r>
        <w:rPr>
          <w:rFonts w:ascii="宋体" w:hAnsi="宋体" w:cs="宋体"/>
          <w:b/>
          <w:bCs/>
        </w:rPr>
        <w:t>1.3</w:t>
      </w:r>
      <w:r>
        <w:rPr>
          <w:rFonts w:hint="eastAsia" w:ascii="宋体" w:hAnsi="宋体" w:cs="宋体"/>
          <w:b/>
          <w:bCs/>
        </w:rPr>
        <w:t>选手应具备的能力</w:t>
      </w:r>
      <w:bookmarkEnd w:id="9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（</w:t>
      </w:r>
      <w:r>
        <w:rPr>
          <w:rFonts w:hint="eastAsia" w:ascii="宋体" w:hAnsi="宋体"/>
          <w:sz w:val="21"/>
          <w:szCs w:val="21"/>
          <w:lang w:val="en-US" w:eastAsia="zh-CN"/>
        </w:rPr>
        <w:t>1</w:t>
      </w:r>
      <w:r>
        <w:rPr>
          <w:rFonts w:hint="eastAsia" w:ascii="宋体" w:hAnsi="宋体"/>
          <w:sz w:val="21"/>
          <w:szCs w:val="21"/>
          <w:lang w:eastAsia="zh-CN"/>
        </w:rPr>
        <w:t>）</w:t>
      </w:r>
      <w:r>
        <w:rPr>
          <w:rFonts w:hint="eastAsia" w:ascii="宋体" w:hAnsi="宋体"/>
          <w:sz w:val="21"/>
          <w:szCs w:val="21"/>
        </w:rPr>
        <w:t>在砌筑工程工作时，按照正确程序操作</w:t>
      </w:r>
      <w:r>
        <w:rPr>
          <w:rFonts w:hint="eastAsia" w:ascii="宋体" w:hAnsi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（2）掌握建筑制图的基本知识，熟悉砖石结构和抗震结构的一般知识，看懂较复杂的施工图；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（3）熟练掌握施工测量放线的基本知识，根据图纸制作皮数杆；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（4）按设计选择砌筑材料；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（5）熟悉砌筑工艺流程，组织或自行完成砌体工作；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 xml:space="preserve">（6）按设计在砌筑墙上安装预埋材料；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（7）在工业建筑和民用建筑烟囱上砌筑弧形砖石；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eastAsia="zh-CN"/>
        </w:rPr>
        <w:t>（</w:t>
      </w:r>
      <w:r>
        <w:rPr>
          <w:rFonts w:hint="eastAsia" w:ascii="宋体" w:hAnsi="宋体"/>
          <w:sz w:val="21"/>
          <w:szCs w:val="21"/>
          <w:lang w:val="en-US" w:eastAsia="zh-CN"/>
        </w:rPr>
        <w:t>8</w:t>
      </w:r>
      <w:r>
        <w:rPr>
          <w:rFonts w:hint="eastAsia" w:ascii="宋体" w:hAnsi="宋体"/>
          <w:sz w:val="21"/>
          <w:szCs w:val="21"/>
          <w:lang w:eastAsia="zh-CN"/>
        </w:rPr>
        <w:t>）依据</w:t>
      </w:r>
      <w:r>
        <w:rPr>
          <w:rFonts w:hint="eastAsia" w:ascii="宋体" w:hAnsi="宋体"/>
          <w:sz w:val="21"/>
          <w:szCs w:val="21"/>
        </w:rPr>
        <w:t>相应国家节能环保</w:t>
      </w:r>
      <w:r>
        <w:rPr>
          <w:rFonts w:hint="eastAsia" w:ascii="宋体" w:hAnsi="宋体"/>
          <w:sz w:val="21"/>
          <w:szCs w:val="21"/>
          <w:lang w:eastAsia="zh-CN"/>
        </w:rPr>
        <w:t>要求</w:t>
      </w:r>
      <w:r>
        <w:rPr>
          <w:rFonts w:hint="eastAsia" w:ascii="宋体" w:hAnsi="宋体"/>
          <w:sz w:val="21"/>
          <w:szCs w:val="21"/>
        </w:rPr>
        <w:t>，在</w:t>
      </w:r>
      <w:r>
        <w:rPr>
          <w:rFonts w:ascii="宋体" w:hAnsi="宋体"/>
          <w:sz w:val="21"/>
          <w:szCs w:val="21"/>
        </w:rPr>
        <w:t>砌筑过程中采用防尘</w:t>
      </w:r>
      <w:r>
        <w:rPr>
          <w:rFonts w:hint="eastAsia" w:ascii="宋体" w:hAnsi="宋体"/>
          <w:sz w:val="21"/>
          <w:szCs w:val="21"/>
        </w:rPr>
        <w:t>工具</w:t>
      </w:r>
      <w:r>
        <w:rPr>
          <w:rFonts w:ascii="宋体" w:hAnsi="宋体"/>
          <w:sz w:val="21"/>
          <w:szCs w:val="21"/>
        </w:rPr>
        <w:t>并精确计算节约材料</w:t>
      </w:r>
      <w:r>
        <w:rPr>
          <w:rFonts w:hint="eastAsia" w:ascii="宋体" w:hAnsi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（9）遵循健康和安全标准、规则和条例。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 xml:space="preserve">1.3.1 能力要求细则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所需要的能力要求包括：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（1）测量、放线及放样；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（2）根据设计选择砌筑材料；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（3）对砌体材料安全切割、精加工；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（4）按照设计图纸进行组砌；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（5）按照要求进行勾缝；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（6）文明施工、工完场清。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 xml:space="preserve">1.3.2 理论知识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必须具备以下理论知识，但不进行直接测试。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（1）会识图，并能够按照规定标准制图、画草图；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（2）能够按 1:1 的比例进行放大样图；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（3）设计知识；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（4）材料和工艺知识；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t xml:space="preserve">（5）砌筑知识。 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textAlignment w:val="auto"/>
        <w:rPr>
          <w:rFonts w:hint="eastAsia" w:ascii="黑体" w:hAnsi="黑体" w:eastAsia="黑体" w:cs="黑体"/>
          <w:b/>
          <w:bCs w:val="0"/>
          <w:lang w:val="en-US" w:eastAsia="zh-CN"/>
        </w:rPr>
      </w:pPr>
      <w:bookmarkStart w:id="10" w:name="_Toc18266"/>
      <w:r>
        <w:rPr>
          <w:rFonts w:hint="eastAsia" w:ascii="黑体" w:hAnsi="黑体" w:eastAsia="黑体" w:cs="黑体"/>
          <w:b/>
          <w:bCs w:val="0"/>
          <w:lang w:val="en-US" w:eastAsia="zh-CN"/>
        </w:rPr>
        <w:t>2.竞赛项目</w:t>
      </w:r>
      <w:bookmarkEnd w:id="1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ascii="宋体" w:hAnsi="宋体" w:cs="宋体"/>
          <w:b/>
          <w:bCs/>
        </w:rPr>
      </w:pPr>
      <w:bookmarkStart w:id="11" w:name="_Toc5657"/>
      <w:r>
        <w:rPr>
          <w:rFonts w:ascii="宋体" w:hAnsi="宋体" w:cs="宋体"/>
          <w:b/>
          <w:bCs/>
        </w:rPr>
        <w:t>2.1</w:t>
      </w:r>
      <w:r>
        <w:rPr>
          <w:rFonts w:hint="eastAsia" w:ascii="宋体" w:hAnsi="宋体" w:cs="宋体"/>
          <w:b/>
          <w:bCs/>
        </w:rPr>
        <w:t>竞赛内容</w:t>
      </w:r>
      <w:bookmarkEnd w:id="1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240" w:lineRule="auto"/>
        <w:ind w:firstLine="420" w:firstLineChars="200"/>
        <w:rPr>
          <w:rFonts w:hint="eastAsia" w:ascii="宋体" w:hAnsi="宋体" w:eastAsia="宋体" w:cs="等线"/>
          <w:szCs w:val="24"/>
          <w:lang w:eastAsia="zh-CN"/>
        </w:rPr>
      </w:pPr>
      <w:bookmarkStart w:id="12" w:name="_Toc21297729"/>
      <w:bookmarkStart w:id="13" w:name="_Toc18611634"/>
      <w:bookmarkStart w:id="14" w:name="_Toc24528"/>
      <w:r>
        <w:rPr>
          <w:rFonts w:hint="eastAsia" w:ascii="宋体" w:hAnsi="宋体" w:cs="等线"/>
          <w:sz w:val="21"/>
          <w:szCs w:val="21"/>
          <w:lang w:val="en-US" w:eastAsia="zh-CN"/>
        </w:rPr>
        <w:t>竞赛试题为砌筑一图形砖砌体，请按要求选择材料、 测量、放线、切割砖块、组砌完成。砌体材料为 240×115×53㎜的粉煤灰砖，砌体长为1740㎜、宽为</w:t>
      </w:r>
      <w:r>
        <w:rPr>
          <w:rFonts w:hint="default" w:ascii="宋体" w:hAnsi="宋体" w:cs="等线"/>
          <w:sz w:val="21"/>
          <w:szCs w:val="21"/>
          <w:lang w:val="en-US" w:eastAsia="zh-CN"/>
        </w:rPr>
        <w:t>120</w:t>
      </w:r>
      <w:r>
        <w:rPr>
          <w:rFonts w:hint="eastAsia" w:ascii="宋体" w:hAnsi="宋体" w:cs="等线"/>
          <w:sz w:val="21"/>
          <w:szCs w:val="21"/>
          <w:lang w:val="en-US" w:eastAsia="zh-CN"/>
        </w:rPr>
        <w:t>㎜、高1376㎜、两端为</w:t>
      </w:r>
      <w:r>
        <w:rPr>
          <w:rFonts w:hint="default" w:ascii="宋体" w:hAnsi="宋体" w:cs="等线"/>
          <w:sz w:val="21"/>
          <w:szCs w:val="21"/>
          <w:lang w:val="en-US" w:eastAsia="zh-CN"/>
        </w:rPr>
        <w:t>120mm</w:t>
      </w:r>
      <w:r>
        <w:rPr>
          <w:rFonts w:hint="eastAsia" w:ascii="宋体" w:hAnsi="宋体" w:cs="等线"/>
          <w:sz w:val="21"/>
          <w:szCs w:val="21"/>
          <w:lang w:val="en-US" w:eastAsia="zh-CN"/>
        </w:rPr>
        <w:t>的附墙柱，</w:t>
      </w:r>
      <w:r>
        <w:rPr>
          <w:rFonts w:hint="eastAsia" w:ascii="宋体" w:hAnsi="宋体" w:cs="等线"/>
          <w:sz w:val="21"/>
          <w:szCs w:val="21"/>
        </w:rPr>
        <w:t>图案中砌体凸出</w:t>
      </w:r>
      <w:r>
        <w:rPr>
          <w:rFonts w:ascii="宋体" w:hAnsi="宋体" w:cs="等线"/>
          <w:sz w:val="21"/>
          <w:szCs w:val="21"/>
        </w:rPr>
        <w:t>砌体</w:t>
      </w:r>
      <w:r>
        <w:rPr>
          <w:rFonts w:hint="eastAsia" w:ascii="宋体" w:hAnsi="宋体" w:cs="等线"/>
          <w:sz w:val="21"/>
          <w:szCs w:val="21"/>
          <w:lang w:val="en-US" w:eastAsia="zh-CN"/>
        </w:rPr>
        <w:t>20</w:t>
      </w:r>
      <w:r>
        <w:rPr>
          <w:rFonts w:hint="eastAsia" w:ascii="宋体" w:hAnsi="宋体" w:cs="等线"/>
          <w:sz w:val="21"/>
          <w:szCs w:val="21"/>
        </w:rPr>
        <w:t>mm</w:t>
      </w:r>
      <w:r>
        <w:rPr>
          <w:rFonts w:hint="eastAsia" w:ascii="宋体" w:hAnsi="宋体" w:cs="等线"/>
          <w:sz w:val="21"/>
          <w:szCs w:val="21"/>
          <w:lang w:eastAsia="zh-CN"/>
        </w:rPr>
        <w:t>，</w:t>
      </w:r>
      <w:r>
        <w:rPr>
          <w:rFonts w:hint="eastAsia" w:ascii="宋体" w:hAnsi="宋体" w:cs="等线"/>
          <w:sz w:val="21"/>
          <w:szCs w:val="21"/>
          <w:lang w:val="en-US" w:eastAsia="zh-CN"/>
        </w:rPr>
        <w:t>详见剖面图，墙面勾缝深度为</w:t>
      </w:r>
      <w:r>
        <w:rPr>
          <w:rFonts w:hint="default" w:ascii="宋体" w:hAnsi="宋体" w:cs="等线"/>
          <w:sz w:val="21"/>
          <w:szCs w:val="21"/>
          <w:lang w:val="en-US" w:eastAsia="zh-CN"/>
        </w:rPr>
        <w:t>5mm</w:t>
      </w:r>
      <w:r>
        <w:rPr>
          <w:rFonts w:hint="eastAsia" w:ascii="宋体" w:hAnsi="宋体" w:cs="等线"/>
          <w:sz w:val="21"/>
          <w:szCs w:val="21"/>
          <w:lang w:val="en-US" w:eastAsia="zh-CN"/>
        </w:rPr>
        <w:t>的凹缝，突出部分为平缝。</w:t>
      </w:r>
      <w:r>
        <w:rPr>
          <w:rFonts w:hint="eastAsia" w:ascii="宋体" w:hAnsi="宋体" w:cs="等线"/>
          <w:sz w:val="21"/>
          <w:szCs w:val="21"/>
        </w:rPr>
        <w:t>砌筑灰缝</w:t>
      </w:r>
      <w:r>
        <w:rPr>
          <w:rFonts w:ascii="宋体" w:hAnsi="宋体" w:cs="等线"/>
          <w:sz w:val="21"/>
          <w:szCs w:val="21"/>
        </w:rPr>
        <w:t>标</w:t>
      </w:r>
      <w:r>
        <w:rPr>
          <w:rFonts w:hint="eastAsia" w:ascii="宋体" w:hAnsi="宋体" w:cs="等线"/>
          <w:sz w:val="21"/>
          <w:szCs w:val="21"/>
        </w:rPr>
        <w:t>准</w:t>
      </w:r>
      <w:r>
        <w:rPr>
          <w:rFonts w:ascii="宋体" w:hAnsi="宋体" w:cs="等线"/>
          <w:sz w:val="21"/>
          <w:szCs w:val="21"/>
        </w:rPr>
        <w:t>为</w:t>
      </w:r>
      <w:r>
        <w:rPr>
          <w:rFonts w:hint="eastAsia" w:ascii="宋体" w:hAnsi="宋体" w:cs="等线"/>
          <w:sz w:val="21"/>
          <w:szCs w:val="21"/>
        </w:rPr>
        <w:t>10mm根据</w:t>
      </w:r>
      <w:r>
        <w:rPr>
          <w:rFonts w:ascii="宋体" w:hAnsi="宋体" w:cs="等线"/>
          <w:sz w:val="21"/>
          <w:szCs w:val="21"/>
        </w:rPr>
        <w:t>现场砌块尺寸进行调整，调整范围为</w:t>
      </w:r>
      <w:r>
        <w:rPr>
          <w:rFonts w:hint="eastAsia" w:ascii="宋体" w:hAnsi="宋体" w:cs="等线"/>
          <w:sz w:val="21"/>
          <w:szCs w:val="21"/>
        </w:rPr>
        <w:t>8～1</w:t>
      </w:r>
      <w:r>
        <w:rPr>
          <w:rFonts w:ascii="宋体" w:hAnsi="宋体" w:cs="等线"/>
          <w:sz w:val="21"/>
          <w:szCs w:val="21"/>
        </w:rPr>
        <w:t>2</w:t>
      </w:r>
      <w:r>
        <w:rPr>
          <w:rFonts w:hint="eastAsia" w:ascii="宋体" w:hAnsi="宋体" w:cs="等线"/>
          <w:sz w:val="21"/>
          <w:szCs w:val="21"/>
        </w:rPr>
        <w:t>mm</w:t>
      </w:r>
      <w:r>
        <w:rPr>
          <w:rFonts w:hint="eastAsia" w:ascii="宋体" w:hAnsi="宋体" w:cs="等线"/>
          <w:sz w:val="21"/>
          <w:szCs w:val="21"/>
          <w:lang w:eastAsia="zh-CN"/>
        </w:rPr>
        <w:t>，</w:t>
      </w:r>
      <w:r>
        <w:rPr>
          <w:rFonts w:hint="eastAsia" w:ascii="宋体" w:hAnsi="宋体" w:cs="等线"/>
          <w:sz w:val="21"/>
          <w:szCs w:val="21"/>
        </w:rPr>
        <w:t>灰缝应砂浆饱满</w:t>
      </w:r>
      <w:r>
        <w:rPr>
          <w:rFonts w:hint="eastAsia" w:ascii="宋体" w:hAnsi="宋体" w:cs="等线"/>
          <w:sz w:val="21"/>
          <w:szCs w:val="21"/>
          <w:lang w:eastAsia="zh-CN"/>
        </w:rPr>
        <w:t>，</w:t>
      </w:r>
      <w:r>
        <w:rPr>
          <w:rFonts w:hint="eastAsia" w:ascii="宋体" w:hAnsi="宋体" w:cs="等线"/>
          <w:sz w:val="21"/>
          <w:szCs w:val="21"/>
        </w:rPr>
        <w:t>灰缝的砂浆饱满度不得低于90%</w:t>
      </w:r>
      <w:r>
        <w:rPr>
          <w:rFonts w:hint="eastAsia" w:ascii="宋体" w:hAnsi="宋体" w:cs="等线"/>
          <w:sz w:val="21"/>
          <w:szCs w:val="21"/>
          <w:lang w:eastAsia="zh-CN"/>
        </w:rPr>
        <w:t>。</w:t>
      </w:r>
      <w:r>
        <w:rPr>
          <w:rFonts w:hint="eastAsia" w:ascii="宋体" w:hAnsi="宋体" w:cs="等线"/>
          <w:sz w:val="21"/>
          <w:szCs w:val="21"/>
        </w:rPr>
        <w:t>试题背面</w:t>
      </w:r>
      <w:r>
        <w:rPr>
          <w:rFonts w:ascii="宋体" w:hAnsi="宋体" w:cs="等线"/>
          <w:sz w:val="21"/>
          <w:szCs w:val="21"/>
        </w:rPr>
        <w:t>砌体必须</w:t>
      </w:r>
      <w:r>
        <w:rPr>
          <w:rFonts w:hint="eastAsia" w:ascii="宋体" w:hAnsi="宋体" w:cs="等线"/>
          <w:sz w:val="21"/>
          <w:szCs w:val="21"/>
        </w:rPr>
        <w:t>整洁</w:t>
      </w:r>
      <w:r>
        <w:rPr>
          <w:rFonts w:hint="eastAsia" w:ascii="宋体" w:hAnsi="宋体" w:cs="等线"/>
          <w:sz w:val="21"/>
          <w:szCs w:val="21"/>
          <w:lang w:eastAsia="zh-CN"/>
        </w:rPr>
        <w:t>，</w:t>
      </w:r>
      <w:r>
        <w:rPr>
          <w:rFonts w:hint="eastAsia" w:ascii="宋体" w:hAnsi="宋体" w:cs="等线"/>
          <w:sz w:val="21"/>
          <w:szCs w:val="21"/>
        </w:rPr>
        <w:t>无</w:t>
      </w:r>
      <w:r>
        <w:rPr>
          <w:rFonts w:ascii="宋体" w:hAnsi="宋体" w:cs="等线"/>
          <w:sz w:val="21"/>
          <w:szCs w:val="21"/>
        </w:rPr>
        <w:t>透明缝、瞎缝、</w:t>
      </w:r>
      <w:r>
        <w:rPr>
          <w:rFonts w:hint="eastAsia" w:ascii="宋体" w:hAnsi="宋体" w:cs="等线"/>
          <w:sz w:val="21"/>
          <w:szCs w:val="21"/>
        </w:rPr>
        <w:t>假缝</w:t>
      </w:r>
      <w:r>
        <w:rPr>
          <w:rFonts w:ascii="宋体" w:hAnsi="宋体" w:cs="等线"/>
          <w:sz w:val="21"/>
          <w:szCs w:val="21"/>
        </w:rPr>
        <w:t>等缺陷，</w:t>
      </w:r>
      <w:r>
        <w:rPr>
          <w:rFonts w:hint="eastAsia" w:ascii="宋体" w:hAnsi="宋体" w:cs="等线"/>
          <w:sz w:val="21"/>
          <w:szCs w:val="21"/>
        </w:rPr>
        <w:t>侧立面</w:t>
      </w:r>
      <w:r>
        <w:rPr>
          <w:rFonts w:ascii="宋体" w:hAnsi="宋体" w:cs="等线"/>
          <w:sz w:val="21"/>
          <w:szCs w:val="21"/>
        </w:rPr>
        <w:t>与正立面</w:t>
      </w:r>
      <w:r>
        <w:rPr>
          <w:rFonts w:hint="eastAsia" w:ascii="宋体" w:hAnsi="宋体" w:cs="等线"/>
          <w:sz w:val="21"/>
          <w:szCs w:val="21"/>
        </w:rPr>
        <w:t>及</w:t>
      </w:r>
      <w:r>
        <w:rPr>
          <w:rFonts w:ascii="宋体" w:hAnsi="宋体" w:cs="等线"/>
          <w:sz w:val="21"/>
          <w:szCs w:val="21"/>
        </w:rPr>
        <w:t>顶部均需进行</w:t>
      </w:r>
      <w:r>
        <w:rPr>
          <w:rFonts w:ascii="宋体" w:hAnsi="宋体" w:cs="等线"/>
          <w:szCs w:val="24"/>
        </w:rPr>
        <w:t>勾缝。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20" w:firstLineChars="200"/>
        <w:jc w:val="left"/>
        <w:rPr>
          <w:rFonts w:hint="eastAsia" w:ascii="宋体" w:hAnsi="宋体" w:cs="等线"/>
          <w:sz w:val="21"/>
          <w:szCs w:val="21"/>
          <w:lang w:val="en-US" w:eastAsia="zh-CN"/>
        </w:rPr>
      </w:pPr>
      <w:r>
        <w:rPr>
          <w:rFonts w:hint="eastAsia" w:ascii="宋体" w:hAnsi="宋体" w:cs="等线"/>
          <w:sz w:val="21"/>
          <w:szCs w:val="21"/>
          <w:lang w:val="en-US" w:eastAsia="zh-CN"/>
        </w:rPr>
        <w:drawing>
          <wp:inline distT="0" distB="0" distL="114300" distR="114300">
            <wp:extent cx="5271135" cy="3847465"/>
            <wp:effectExtent l="0" t="0" r="5715" b="635"/>
            <wp:docPr id="1" name="图片 1" descr="ebf20dae3b7bf46659783954307e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f20dae3b7bf46659783954307e7e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jc w:val="center"/>
        <w:rPr>
          <w:rFonts w:ascii="宋体" w:hAnsi="宋体"/>
          <w:b/>
        </w:rPr>
      </w:pPr>
      <w:r>
        <w:rPr>
          <w:rFonts w:hint="eastAsia" w:ascii="宋体" w:hAnsi="宋体"/>
          <w:szCs w:val="24"/>
        </w:rPr>
        <w:t>　</w:t>
      </w:r>
      <w:r>
        <w:rPr>
          <w:rFonts w:hint="eastAsia" w:ascii="宋体" w:hAnsi="宋体"/>
          <w:b/>
        </w:rPr>
        <w:t>实操竞赛正立面示意</w:t>
      </w:r>
      <w:r>
        <w:rPr>
          <w:rFonts w:ascii="宋体" w:hAnsi="宋体"/>
          <w:b/>
        </w:rPr>
        <w:t>图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/>
          <w:b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/>
          <w:b/>
        </w:rPr>
      </w:pPr>
      <w:r>
        <w:drawing>
          <wp:inline distT="0" distB="0" distL="114300" distR="114300">
            <wp:extent cx="5507355" cy="1595755"/>
            <wp:effectExtent l="0" t="0" r="9525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/>
          <w:b/>
          <w:sz w:val="21"/>
          <w:szCs w:val="21"/>
        </w:rPr>
      </w:pPr>
      <w:r>
        <w:rPr>
          <w:rFonts w:hint="eastAsia" w:ascii="宋体" w:hAnsi="宋体"/>
          <w:b/>
        </w:rPr>
        <w:t>实操竞赛</w:t>
      </w:r>
      <w:r>
        <w:rPr>
          <w:rFonts w:hint="eastAsia" w:ascii="宋体" w:hAnsi="宋体"/>
          <w:b/>
          <w:lang w:val="en-US" w:eastAsia="zh-CN"/>
        </w:rPr>
        <w:t>俯视图</w:t>
      </w:r>
      <w:r>
        <w:rPr>
          <w:rFonts w:hint="eastAsia" w:ascii="宋体" w:hAnsi="宋体"/>
          <w:b/>
        </w:rPr>
        <w:t>示意</w:t>
      </w:r>
      <w:r>
        <w:rPr>
          <w:rFonts w:ascii="宋体" w:hAnsi="宋体"/>
          <w:b/>
        </w:rPr>
        <w:t>图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/>
          <w:b/>
          <w:sz w:val="21"/>
          <w:szCs w:val="21"/>
        </w:rPr>
      </w:pPr>
    </w:p>
    <w:p>
      <w:pPr>
        <w:pStyle w:val="8"/>
        <w:jc w:val="center"/>
        <w:rPr>
          <w:rFonts w:hint="eastAsia" w:ascii="宋体" w:hAnsi="宋体"/>
          <w:b/>
        </w:rPr>
      </w:pPr>
      <w:r>
        <w:rPr>
          <w:rFonts w:hint="eastAsia" w:ascii="宋体" w:hAnsi="宋体" w:eastAsia="宋体"/>
          <w:b/>
          <w:sz w:val="21"/>
          <w:szCs w:val="21"/>
          <w:lang w:eastAsia="zh-CN"/>
        </w:rPr>
        <w:drawing>
          <wp:inline distT="0" distB="0" distL="114300" distR="114300">
            <wp:extent cx="5274310" cy="1683385"/>
            <wp:effectExtent l="0" t="0" r="12065" b="2540"/>
            <wp:docPr id="5" name="图片 5" descr="a74925c3f89d1800e263f5bdfc28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74925c3f89d1800e263f5bdfc28a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center"/>
        <w:rPr>
          <w:rFonts w:hint="eastAsia" w:ascii="宋体" w:hAnsi="宋体"/>
          <w:b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center"/>
        <w:rPr>
          <w:rFonts w:ascii="宋体" w:hAnsi="宋体"/>
          <w:b/>
        </w:rPr>
      </w:pPr>
      <w:r>
        <w:rPr>
          <w:rFonts w:hint="eastAsia" w:ascii="宋体" w:hAnsi="宋体"/>
          <w:b/>
        </w:rPr>
        <w:t>实操竞赛</w:t>
      </w:r>
      <w:r>
        <w:rPr>
          <w:rFonts w:hint="eastAsia" w:ascii="宋体" w:hAnsi="宋体"/>
          <w:b/>
          <w:lang w:val="en-US" w:eastAsia="zh-CN"/>
        </w:rPr>
        <w:t>墙身剖面</w:t>
      </w:r>
      <w:r>
        <w:rPr>
          <w:rFonts w:ascii="宋体" w:hAnsi="宋体"/>
          <w:b/>
        </w:rPr>
        <w:t>图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both"/>
        <w:rPr>
          <w:rFonts w:hint="eastAsia" w:ascii="宋体" w:hAnsi="宋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2319" w:firstLineChars="1100"/>
        <w:jc w:val="both"/>
        <w:rPr>
          <w:rFonts w:hint="eastAsia" w:ascii="宋体" w:hAnsi="宋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2319" w:firstLineChars="1100"/>
        <w:jc w:val="both"/>
        <w:rPr>
          <w:rFonts w:hint="eastAsia" w:ascii="宋体" w:hAnsi="宋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2319" w:firstLineChars="1100"/>
        <w:jc w:val="both"/>
        <w:rPr>
          <w:rFonts w:hint="eastAsia" w:ascii="宋体" w:hAnsi="宋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2319" w:firstLineChars="1100"/>
        <w:jc w:val="both"/>
        <w:rPr>
          <w:rFonts w:ascii="宋体" w:hAnsi="宋体" w:cs="宋体"/>
          <w:b/>
          <w:bCs/>
        </w:rPr>
      </w:pPr>
      <w:r>
        <w:rPr>
          <w:rFonts w:hint="eastAsia" w:ascii="宋体" w:hAnsi="宋体"/>
          <w:b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  <w:lang w:eastAsia="zh-CN"/>
        </w:rPr>
        <w:t>第</w:t>
      </w:r>
      <w:r>
        <w:rPr>
          <w:rFonts w:hint="eastAsia" w:ascii="宋体" w:hAnsi="宋体"/>
          <w:b/>
          <w:sz w:val="21"/>
          <w:szCs w:val="21"/>
          <w:lang w:val="en-US" w:eastAsia="zh-CN"/>
        </w:rPr>
        <w:t>七</w:t>
      </w:r>
      <w:r>
        <w:rPr>
          <w:rFonts w:hint="eastAsia" w:ascii="宋体" w:hAnsi="宋体"/>
          <w:b/>
          <w:sz w:val="21"/>
          <w:szCs w:val="21"/>
        </w:rPr>
        <w:t>届</w:t>
      </w:r>
      <w:r>
        <w:rPr>
          <w:rFonts w:hint="eastAsia" w:ascii="宋体" w:hAnsi="宋体"/>
          <w:b/>
          <w:sz w:val="21"/>
          <w:szCs w:val="21"/>
          <w:lang w:val="en-US" w:eastAsia="zh-CN"/>
        </w:rPr>
        <w:t>山西省长治市</w:t>
      </w:r>
      <w:r>
        <w:rPr>
          <w:rFonts w:hint="eastAsia" w:ascii="宋体" w:hAnsi="宋体"/>
          <w:b/>
          <w:sz w:val="21"/>
          <w:szCs w:val="21"/>
          <w:lang w:eastAsia="zh-CN"/>
        </w:rPr>
        <w:t>职业</w:t>
      </w:r>
      <w:r>
        <w:rPr>
          <w:rFonts w:ascii="宋体" w:hAnsi="宋体"/>
          <w:b/>
          <w:sz w:val="21"/>
          <w:szCs w:val="21"/>
        </w:rPr>
        <w:t>技能大赛</w:t>
      </w:r>
      <w:r>
        <w:rPr>
          <w:rFonts w:hint="eastAsia" w:ascii="宋体" w:hAnsi="宋体"/>
          <w:b/>
          <w:sz w:val="21"/>
          <w:szCs w:val="21"/>
        </w:rPr>
        <w:t>”</w:t>
      </w:r>
      <w:r>
        <w:rPr>
          <w:rFonts w:ascii="宋体" w:hAnsi="宋体"/>
          <w:b/>
          <w:sz w:val="21"/>
          <w:szCs w:val="21"/>
        </w:rPr>
        <w:t>切砖明细表</w:t>
      </w:r>
    </w:p>
    <w:tbl>
      <w:tblPr>
        <w:tblStyle w:val="16"/>
        <w:tblpPr w:leftFromText="180" w:rightFromText="180" w:vertAnchor="text" w:horzAnchor="page" w:tblpX="2017" w:tblpY="621"/>
        <w:tblOverlap w:val="never"/>
        <w:tblW w:w="84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988"/>
        <w:gridCol w:w="804"/>
        <w:gridCol w:w="672"/>
        <w:gridCol w:w="2442"/>
        <w:gridCol w:w="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</w:trPr>
        <w:tc>
          <w:tcPr>
            <w:tcW w:w="720" w:type="dxa"/>
            <w:shd w:val="clear" w:color="auto" w:fill="B2A1C7" w:themeFill="accent4" w:themeFillTint="99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FFFFFF" w:themeColor="background1"/>
                <w:kern w:val="2"/>
                <w:sz w:val="28"/>
                <w:szCs w:val="28"/>
                <w:u w:val="none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FFFFFF" w:themeColor="background1"/>
                <w:ker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编号</w:t>
            </w:r>
          </w:p>
        </w:tc>
        <w:tc>
          <w:tcPr>
            <w:tcW w:w="298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形状规格</w:t>
            </w:r>
          </w:p>
        </w:tc>
        <w:tc>
          <w:tcPr>
            <w:tcW w:w="80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672" w:type="dxa"/>
            <w:shd w:val="clear" w:color="auto" w:fill="B2A1C7" w:themeFill="accent4" w:themeFillTint="99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244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形状规格</w:t>
            </w:r>
          </w:p>
        </w:tc>
        <w:tc>
          <w:tcPr>
            <w:tcW w:w="78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ascii="宋体" w:hAnsi="宋体" w:cs="宋体"/>
                <w:b/>
                <w:bCs/>
                <w:vertAlign w:val="baseline"/>
              </w:rPr>
            </w:pPr>
            <w:r>
              <w:drawing>
                <wp:inline distT="0" distB="0" distL="114300" distR="114300">
                  <wp:extent cx="1759585" cy="1296670"/>
                  <wp:effectExtent l="0" t="0" r="1206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ascii="宋体" w:hAnsi="宋体" w:cs="宋体"/>
                <w:b/>
                <w:bCs/>
                <w:vertAlign w:val="baseline"/>
              </w:rPr>
            </w:pPr>
            <w:r>
              <w:drawing>
                <wp:inline distT="0" distB="0" distL="114300" distR="114300">
                  <wp:extent cx="1413510" cy="1056005"/>
                  <wp:effectExtent l="0" t="0" r="15240" b="1079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ascii="宋体" w:hAnsi="宋体" w:cs="宋体"/>
                <w:b/>
                <w:bCs/>
                <w:vertAlign w:val="baseline"/>
              </w:rPr>
            </w:pPr>
            <w:r>
              <w:drawing>
                <wp:inline distT="0" distB="0" distL="114300" distR="114300">
                  <wp:extent cx="1760220" cy="1273810"/>
                  <wp:effectExtent l="0" t="0" r="11430" b="254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4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ascii="宋体" w:hAnsi="宋体" w:cs="宋体"/>
                <w:b/>
                <w:bCs/>
                <w:vertAlign w:val="baseline"/>
              </w:rPr>
            </w:pPr>
            <w:r>
              <w:drawing>
                <wp:inline distT="0" distB="0" distL="114300" distR="114300">
                  <wp:extent cx="1410335" cy="677545"/>
                  <wp:effectExtent l="0" t="0" r="18415" b="825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5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1057275"/>
                  <wp:effectExtent l="0" t="0" r="13335" b="9525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6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844550"/>
                  <wp:effectExtent l="0" t="0" r="16510" b="12700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7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9585" cy="1514475"/>
                  <wp:effectExtent l="0" t="0" r="12065" b="9525"/>
                  <wp:docPr id="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8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1605" cy="929640"/>
                  <wp:effectExtent l="0" t="0" r="17145" b="3810"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9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950" cy="1106805"/>
                  <wp:effectExtent l="0" t="0" r="12700" b="17145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10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0970" cy="832485"/>
                  <wp:effectExtent l="0" t="0" r="17780" b="5715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7680" cy="1786890"/>
                  <wp:effectExtent l="0" t="0" r="13970" b="3810"/>
                  <wp:docPr id="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12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07795" cy="1264920"/>
                  <wp:effectExtent l="0" t="0" r="1905" b="11430"/>
                  <wp:docPr id="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6410" cy="1312545"/>
                  <wp:effectExtent l="0" t="0" r="15240" b="1905"/>
                  <wp:docPr id="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14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1328420"/>
                  <wp:effectExtent l="0" t="0" r="16510" b="5080"/>
                  <wp:docPr id="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15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936625"/>
                  <wp:effectExtent l="0" t="0" r="13335" b="15875"/>
                  <wp:docPr id="2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jc w:val="center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16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1179830"/>
                  <wp:effectExtent l="0" t="0" r="16510" b="1270"/>
                  <wp:docPr id="2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17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60220" cy="1226185"/>
                  <wp:effectExtent l="0" t="0" r="11430" b="12065"/>
                  <wp:docPr id="2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18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0970" cy="984250"/>
                  <wp:effectExtent l="0" t="0" r="17780" b="6350"/>
                  <wp:docPr id="2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19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9585" cy="1259840"/>
                  <wp:effectExtent l="0" t="0" r="12065" b="16510"/>
                  <wp:docPr id="2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20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1605" cy="904875"/>
                  <wp:effectExtent l="0" t="0" r="17145" b="9525"/>
                  <wp:docPr id="2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1053465"/>
                  <wp:effectExtent l="0" t="0" r="13335" b="13335"/>
                  <wp:docPr id="2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22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1505585"/>
                  <wp:effectExtent l="0" t="0" r="16510" b="18415"/>
                  <wp:docPr id="2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9585" cy="1445260"/>
                  <wp:effectExtent l="0" t="0" r="12065" b="2540"/>
                  <wp:docPr id="3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24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0335" cy="991235"/>
                  <wp:effectExtent l="0" t="0" r="18415" b="18415"/>
                  <wp:docPr id="3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25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5775" cy="1397000"/>
                  <wp:effectExtent l="0" t="0" r="15875" b="12700"/>
                  <wp:docPr id="3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26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875" cy="1085215"/>
                  <wp:effectExtent l="0" t="0" r="15875" b="635"/>
                  <wp:docPr id="3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  <w:p>
            <w:pPr>
              <w:pStyle w:val="8"/>
              <w:ind w:left="0" w:leftChars="0" w:firstLine="0" w:firstLineChars="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27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9585" cy="1250315"/>
                  <wp:effectExtent l="0" t="0" r="12065" b="6985"/>
                  <wp:docPr id="3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28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0970" cy="1426845"/>
                  <wp:effectExtent l="0" t="0" r="17780" b="1905"/>
                  <wp:docPr id="3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29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9585" cy="1381125"/>
                  <wp:effectExtent l="0" t="0" r="12065" b="9525"/>
                  <wp:docPr id="3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30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875" cy="1193165"/>
                  <wp:effectExtent l="0" t="0" r="15875" b="6985"/>
                  <wp:docPr id="3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7045" cy="842010"/>
                  <wp:effectExtent l="0" t="0" r="14605" b="15240"/>
                  <wp:docPr id="3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32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1139825"/>
                  <wp:effectExtent l="0" t="0" r="16510" b="3175"/>
                  <wp:docPr id="3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7680" cy="1066800"/>
                  <wp:effectExtent l="0" t="0" r="13970" b="0"/>
                  <wp:docPr id="4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34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09700" cy="1290320"/>
                  <wp:effectExtent l="0" t="0" r="0" b="5080"/>
                  <wp:docPr id="4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35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1346200"/>
                  <wp:effectExtent l="0" t="0" r="13335" b="6350"/>
                  <wp:docPr id="4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36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1605" cy="1082040"/>
                  <wp:effectExtent l="0" t="0" r="17145" b="3810"/>
                  <wp:docPr id="4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37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1339850"/>
                  <wp:effectExtent l="0" t="0" r="13335" b="12700"/>
                  <wp:docPr id="4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38</w:t>
            </w:r>
          </w:p>
        </w:tc>
        <w:tc>
          <w:tcPr>
            <w:tcW w:w="2442" w:type="dxa"/>
            <w:vAlign w:val="center"/>
          </w:tcPr>
          <w:p>
            <w:pPr>
              <w:pStyle w:val="8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1410335" cy="660400"/>
                  <wp:effectExtent l="0" t="0" r="18415" b="6350"/>
                  <wp:docPr id="4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39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5775" cy="795655"/>
                  <wp:effectExtent l="0" t="0" r="15875" b="4445"/>
                  <wp:docPr id="47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40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3510" cy="946785"/>
                  <wp:effectExtent l="0" t="0" r="15240" b="5715"/>
                  <wp:docPr id="4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41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9585" cy="1099820"/>
                  <wp:effectExtent l="0" t="0" r="12065" b="5080"/>
                  <wp:docPr id="4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42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1605" cy="1020445"/>
                  <wp:effectExtent l="0" t="0" r="17145" b="8255"/>
                  <wp:docPr id="50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43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932815"/>
                  <wp:effectExtent l="0" t="0" r="13335" b="635"/>
                  <wp:docPr id="51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44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817880"/>
                  <wp:effectExtent l="0" t="0" r="16510" b="1270"/>
                  <wp:docPr id="5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45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7045" cy="767080"/>
                  <wp:effectExtent l="0" t="0" r="14605" b="13970"/>
                  <wp:docPr id="53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46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1353820"/>
                  <wp:effectExtent l="0" t="0" r="16510" b="17780"/>
                  <wp:docPr id="54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47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950" cy="1393190"/>
                  <wp:effectExtent l="0" t="0" r="12700" b="16510"/>
                  <wp:docPr id="55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48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718185"/>
                  <wp:effectExtent l="0" t="0" r="16510" b="5715"/>
                  <wp:docPr id="56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49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7680" cy="1061720"/>
                  <wp:effectExtent l="0" t="0" r="13970" b="5080"/>
                  <wp:docPr id="57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50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1019175"/>
                  <wp:effectExtent l="0" t="0" r="16510" b="9525"/>
                  <wp:docPr id="5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51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60220" cy="1544955"/>
                  <wp:effectExtent l="0" t="0" r="11430" b="17145"/>
                  <wp:docPr id="59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52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785495"/>
                  <wp:effectExtent l="0" t="0" r="16510" b="14605"/>
                  <wp:docPr id="60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53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7045" cy="1202055"/>
                  <wp:effectExtent l="0" t="0" r="14605" b="17145"/>
                  <wp:docPr id="61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54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1605" cy="805815"/>
                  <wp:effectExtent l="0" t="0" r="17145" b="13335"/>
                  <wp:docPr id="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55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9585" cy="1395095"/>
                  <wp:effectExtent l="0" t="0" r="12065" b="14605"/>
                  <wp:docPr id="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56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3510" cy="818515"/>
                  <wp:effectExtent l="0" t="0" r="15240" b="635"/>
                  <wp:docPr id="6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57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7680" cy="1549400"/>
                  <wp:effectExtent l="0" t="0" r="13970" b="12700"/>
                  <wp:docPr id="65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58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1605" cy="1353820"/>
                  <wp:effectExtent l="0" t="0" r="17145" b="17780"/>
                  <wp:docPr id="66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59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1185545"/>
                  <wp:effectExtent l="0" t="0" r="13335" b="14605"/>
                  <wp:docPr id="67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60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3510" cy="1581150"/>
                  <wp:effectExtent l="0" t="0" r="15240" b="0"/>
                  <wp:docPr id="68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61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324610" cy="1766570"/>
                  <wp:effectExtent l="0" t="0" r="8890" b="5080"/>
                  <wp:docPr id="69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62</w:t>
            </w:r>
          </w:p>
        </w:tc>
        <w:tc>
          <w:tcPr>
            <w:tcW w:w="2442" w:type="dxa"/>
            <w:vAlign w:val="center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1605" cy="1106805"/>
                  <wp:effectExtent l="0" t="0" r="17145" b="17145"/>
                  <wp:docPr id="70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63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1292225"/>
                  <wp:effectExtent l="0" t="0" r="13335" b="3175"/>
                  <wp:docPr id="71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64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3510" cy="1080135"/>
                  <wp:effectExtent l="0" t="0" r="15240" b="5715"/>
                  <wp:docPr id="7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65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1093470"/>
                  <wp:effectExtent l="0" t="0" r="13335" b="11430"/>
                  <wp:docPr id="7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66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1522095"/>
                  <wp:effectExtent l="0" t="0" r="16510" b="1905"/>
                  <wp:docPr id="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67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60220" cy="1075055"/>
                  <wp:effectExtent l="0" t="0" r="11430" b="10795"/>
                  <wp:docPr id="7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68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875" cy="1118235"/>
                  <wp:effectExtent l="0" t="0" r="15875" b="5715"/>
                  <wp:docPr id="7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69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196340" cy="1463040"/>
                  <wp:effectExtent l="0" t="0" r="3810" b="3810"/>
                  <wp:docPr id="7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70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303020" cy="1226820"/>
                  <wp:effectExtent l="0" t="0" r="11430" b="11430"/>
                  <wp:docPr id="7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71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562100" cy="1592580"/>
                  <wp:effectExtent l="0" t="0" r="0" b="7620"/>
                  <wp:docPr id="7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72</w:t>
            </w:r>
          </w:p>
        </w:tc>
        <w:tc>
          <w:tcPr>
            <w:tcW w:w="2442" w:type="dxa"/>
            <w:vAlign w:val="center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1605" cy="890905"/>
                  <wp:effectExtent l="0" t="0" r="17145" b="4445"/>
                  <wp:docPr id="8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73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939165"/>
                  <wp:effectExtent l="0" t="0" r="13335" b="13335"/>
                  <wp:docPr id="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74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3510" cy="721995"/>
                  <wp:effectExtent l="0" t="0" r="15240" b="1905"/>
                  <wp:docPr id="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75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315" cy="861695"/>
                  <wp:effectExtent l="0" t="0" r="13335" b="14605"/>
                  <wp:docPr id="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76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3510" cy="1015365"/>
                  <wp:effectExtent l="0" t="0" r="15240" b="13335"/>
                  <wp:docPr id="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77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7680" cy="902970"/>
                  <wp:effectExtent l="0" t="0" r="13970" b="11430"/>
                  <wp:docPr id="8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3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78</w:t>
            </w: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3510" cy="934720"/>
                  <wp:effectExtent l="0" t="0" r="15240" b="17780"/>
                  <wp:docPr id="8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79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638300" cy="1729740"/>
                  <wp:effectExtent l="0" t="0" r="0" b="3810"/>
                  <wp:docPr id="8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80</w:t>
            </w:r>
          </w:p>
        </w:tc>
        <w:tc>
          <w:tcPr>
            <w:tcW w:w="2442" w:type="dxa"/>
            <w:vAlign w:val="center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2240" cy="839470"/>
                  <wp:effectExtent l="0" t="0" r="16510" b="17780"/>
                  <wp:docPr id="8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81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8950" cy="1128395"/>
                  <wp:effectExtent l="0" t="0" r="12700" b="14605"/>
                  <wp:docPr id="8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4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jc w:val="center"/>
              <w:rPr>
                <w:rFonts w:hint="default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82</w:t>
            </w:r>
          </w:p>
        </w:tc>
        <w:tc>
          <w:tcPr>
            <w:tcW w:w="2442" w:type="dxa"/>
            <w:vAlign w:val="center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410335" cy="648335"/>
                  <wp:effectExtent l="0" t="0" r="18415" b="18415"/>
                  <wp:docPr id="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720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83</w:t>
            </w:r>
          </w:p>
        </w:tc>
        <w:tc>
          <w:tcPr>
            <w:tcW w:w="2988" w:type="dxa"/>
          </w:tcPr>
          <w:p>
            <w:pPr>
              <w:pStyle w:val="8"/>
              <w:ind w:left="0" w:leftChars="0" w:firstLine="0" w:firstLineChars="0"/>
              <w:jc w:val="both"/>
            </w:pPr>
            <w:r>
              <w:drawing>
                <wp:inline distT="0" distB="0" distL="114300" distR="114300">
                  <wp:extent cx="1755775" cy="901700"/>
                  <wp:effectExtent l="0" t="0" r="15875" b="12700"/>
                  <wp:docPr id="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</w:p>
          <w:p>
            <w:pPr>
              <w:pStyle w:val="8"/>
              <w:ind w:left="0" w:leftChars="0" w:firstLine="211" w:firstLineChars="100"/>
              <w:jc w:val="both"/>
              <w:rPr>
                <w:rFonts w:hint="default" w:ascii="黑体" w:hAnsi="黑体" w:eastAsia="黑体" w:cs="黑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1</w:t>
            </w:r>
          </w:p>
        </w:tc>
        <w:tc>
          <w:tcPr>
            <w:tcW w:w="672" w:type="dxa"/>
          </w:tcPr>
          <w:p>
            <w:pPr>
              <w:pStyle w:val="8"/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</w:p>
        </w:tc>
        <w:tc>
          <w:tcPr>
            <w:tcW w:w="2442" w:type="dxa"/>
          </w:tcPr>
          <w:p>
            <w:pPr>
              <w:pStyle w:val="8"/>
              <w:ind w:left="0" w:leftChars="0" w:firstLine="0" w:firstLineChars="0"/>
              <w:jc w:val="both"/>
            </w:pPr>
          </w:p>
        </w:tc>
        <w:tc>
          <w:tcPr>
            <w:tcW w:w="786" w:type="dxa"/>
          </w:tcPr>
          <w:p>
            <w:pPr>
              <w:pStyle w:val="8"/>
              <w:ind w:left="0" w:leftChars="0" w:firstLine="211" w:firstLineChars="10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pStyle w:val="8"/>
        <w:rPr>
          <w:rFonts w:ascii="宋体" w:hAnsi="宋体" w:cs="宋体"/>
          <w:b/>
          <w:bCs/>
        </w:rPr>
      </w:pPr>
    </w:p>
    <w:p>
      <w:pPr>
        <w:pStyle w:val="8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inline distT="0" distB="0" distL="114300" distR="114300">
            <wp:extent cx="5271770" cy="4062095"/>
            <wp:effectExtent l="0" t="0" r="5080" b="14605"/>
            <wp:docPr id="92" name="图片 92" descr="e914a0788de4afd6fdf064de3822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e914a0788de4afd6fdf064de38226ad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宋体" w:hAnsi="宋体" w:cs="宋体"/>
          <w:b/>
          <w:bCs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ascii="宋体" w:hAnsi="宋体" w:cs="宋体"/>
          <w:b/>
          <w:bCs/>
        </w:rPr>
      </w:pPr>
      <w:bookmarkStart w:id="15" w:name="_Toc20310"/>
      <w:r>
        <w:rPr>
          <w:rFonts w:ascii="宋体" w:hAnsi="宋体" w:cs="宋体"/>
          <w:b/>
          <w:bCs/>
        </w:rPr>
        <w:t>2.2</w:t>
      </w:r>
      <w:r>
        <w:rPr>
          <w:rFonts w:hint="eastAsia" w:ascii="宋体" w:hAnsi="宋体" w:cs="宋体"/>
          <w:b/>
          <w:bCs/>
        </w:rPr>
        <w:t>竞赛时</w:t>
      </w:r>
      <w:bookmarkEnd w:id="12"/>
      <w:r>
        <w:rPr>
          <w:rFonts w:hint="eastAsia" w:ascii="宋体" w:hAnsi="宋体" w:cs="宋体"/>
          <w:b/>
          <w:bCs/>
        </w:rPr>
        <w:t>间安排</w:t>
      </w:r>
      <w:bookmarkEnd w:id="15"/>
    </w:p>
    <w:bookmarkEnd w:id="13"/>
    <w:bookmarkEnd w:id="14"/>
    <w:p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竞赛时间合计为</w:t>
      </w:r>
      <w:r>
        <w:rPr>
          <w:rFonts w:hint="eastAsia" w:ascii="宋体" w:hAnsi="宋体" w:cs="宋体"/>
          <w:color w:val="auto"/>
          <w:kern w:val="0"/>
          <w:sz w:val="21"/>
          <w:szCs w:val="21"/>
          <w:highlight w:val="none"/>
          <w:shd w:val="clear" w:color="auto" w:fill="auto"/>
          <w:lang w:val="en-US" w:eastAsia="zh-CN" w:bidi="ar"/>
        </w:rPr>
        <w:t>810</w:t>
      </w:r>
      <w:r>
        <w:rPr>
          <w:rFonts w:ascii="TimesNewRomanPSMT" w:hAnsi="TimesNewRomanPSMT" w:eastAsia="TimesNewRomanPSMT" w:cs="TimesNewRomanPSMT"/>
          <w:color w:val="auto"/>
          <w:kern w:val="0"/>
          <w:sz w:val="21"/>
          <w:szCs w:val="21"/>
          <w:highlight w:val="none"/>
          <w:shd w:val="clear" w:color="auto" w:fill="auto"/>
          <w:lang w:val="en-US" w:eastAsia="zh-CN" w:bidi="ar"/>
        </w:rPr>
        <w:t xml:space="preserve"> </w:t>
      </w:r>
      <w:r>
        <w:rPr>
          <w:rFonts w:hint="eastAsia" w:ascii="宋体" w:hAnsi="宋体" w:cs="宋体"/>
          <w:color w:val="auto"/>
          <w:kern w:val="0"/>
          <w:sz w:val="21"/>
          <w:szCs w:val="21"/>
          <w:highlight w:val="none"/>
          <w:shd w:val="clear" w:color="auto" w:fill="auto"/>
          <w:lang w:val="en-US" w:eastAsia="zh-CN" w:bidi="ar"/>
        </w:rPr>
        <w:t>min（切砖放样210min，砌筑竞赛600min）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highlight w:val="none"/>
          <w:shd w:val="clear" w:color="auto" w:fill="auto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含选手在竞赛过程中休息、饮水、上洗手间等活动占用的时间。在规定时间内未完成的不进行评分考核。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竞赛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采用抽签分组方式确定组次，竞赛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分两阶段进行，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上午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为材料准备和切割异型砖时间，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第一天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毎名选手放样切割时间为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210min（切砖放样时间不计入比赛时间）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下午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为作品砌筑竞赛时间，时间为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180</w:t>
      </w:r>
      <w:r>
        <w:rPr>
          <w:rFonts w:hint="default" w:ascii="TimesNewRomanPSMT" w:hAnsi="TimesNewRomanPSMT" w:eastAsia="TimesNewRomanPSMT" w:cs="TimesNewRomanPSMT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min；第二天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为作品砌筑竞赛时间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，上午210min，下午210min。第三天由裁判组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进行评分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。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textAlignment w:val="auto"/>
        <w:rPr>
          <w:rFonts w:hint="eastAsia" w:ascii="黑体" w:hAnsi="黑体" w:eastAsia="黑体" w:cs="黑体"/>
          <w:b/>
          <w:bCs w:val="0"/>
          <w:lang w:val="en-US" w:eastAsia="zh-CN"/>
        </w:rPr>
      </w:pPr>
      <w:bookmarkStart w:id="16" w:name="_Toc287"/>
      <w:r>
        <w:rPr>
          <w:rFonts w:hint="eastAsia" w:ascii="黑体" w:hAnsi="黑体" w:eastAsia="黑体" w:cs="黑体"/>
          <w:b/>
          <w:bCs w:val="0"/>
          <w:lang w:val="en-US" w:eastAsia="zh-CN"/>
        </w:rPr>
        <w:t>3.评判标准</w:t>
      </w:r>
      <w:bookmarkEnd w:id="16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240" w:lineRule="auto"/>
        <w:textAlignment w:val="auto"/>
        <w:rPr>
          <w:rFonts w:hint="eastAsia" w:ascii="宋体" w:hAnsi="宋体" w:cs="宋体"/>
          <w:b/>
          <w:bCs/>
        </w:rPr>
      </w:pPr>
      <w:bookmarkStart w:id="17" w:name="_Toc10613"/>
      <w:r>
        <w:rPr>
          <w:rFonts w:ascii="宋体" w:hAnsi="宋体" w:cs="宋体"/>
          <w:b/>
          <w:bCs/>
        </w:rPr>
        <w:t>3.1</w:t>
      </w:r>
      <w:r>
        <w:rPr>
          <w:rFonts w:hint="eastAsia" w:ascii="宋体" w:hAnsi="宋体" w:cs="宋体"/>
          <w:b/>
          <w:bCs/>
        </w:rPr>
        <w:t>分数和成绩计算方法</w:t>
      </w:r>
      <w:bookmarkEnd w:id="17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0" w:line="240" w:lineRule="auto"/>
        <w:textAlignment w:val="auto"/>
        <w:outlineLvl w:val="2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bookmarkStart w:id="18" w:name="_Toc524170436"/>
      <w:bookmarkStart w:id="19" w:name="_Toc29010"/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3.1.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比赛成绩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比赛成绩由裁判长将裁判分组检测。所有分值由各组裁判依据竞赛评分标准进行检测得分，最后各组成绩累计为选手最终成绩。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0" w:line="240" w:lineRule="auto"/>
        <w:textAlignment w:val="auto"/>
        <w:outlineLvl w:val="2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3.1.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成绩排序</w:t>
      </w:r>
      <w:bookmarkEnd w:id="18"/>
      <w:bookmarkEnd w:id="19"/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比赛名次按照实操成绩，从高到低进行排列。如果出现相同总分，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按完成时间排序，作品砌筑竞赛时间用时少的名次靠前；如作品砌筑竞赛时间相同，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按实际测量分数高的名次靠前；如果测量分数再相同，按尺寸、水平、垂直、平整的顺序分数高的名次靠前。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hint="eastAsia" w:ascii="宋体" w:hAnsi="宋体" w:cs="宋体"/>
          <w:b/>
          <w:bCs/>
          <w:lang w:val="en-US"/>
        </w:rPr>
      </w:pPr>
      <w:bookmarkStart w:id="20" w:name="_Toc13523"/>
      <w:r>
        <w:rPr>
          <w:rFonts w:ascii="宋体" w:hAnsi="宋体" w:cs="宋体"/>
          <w:b/>
          <w:bCs/>
          <w:lang w:val="en-US"/>
        </w:rPr>
        <w:t>3.2</w:t>
      </w:r>
      <w:r>
        <w:rPr>
          <w:rFonts w:hint="eastAsia" w:ascii="宋体" w:hAnsi="宋体" w:cs="宋体"/>
          <w:b/>
          <w:bCs/>
          <w:lang w:val="en-US"/>
        </w:rPr>
        <w:t>评分标准</w:t>
      </w:r>
      <w:bookmarkEnd w:id="2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/>
        </w:rPr>
      </w:pPr>
      <w:r>
        <w:rPr>
          <w:rFonts w:hint="eastAsia" w:ascii="宋体" w:hAnsi="宋体" w:eastAsia="宋体" w:cs="宋体"/>
          <w:sz w:val="21"/>
          <w:szCs w:val="21"/>
        </w:rPr>
        <w:t>竞赛结束后，当场、当天进行评判，评判时，</w:t>
      </w:r>
      <w:r>
        <w:rPr>
          <w:rFonts w:ascii="宋体" w:hAnsi="宋体"/>
        </w:rPr>
        <w:t>裁判员所用的检测工具</w:t>
      </w:r>
      <w:r>
        <w:rPr>
          <w:rFonts w:hint="eastAsia" w:ascii="宋体" w:hAnsi="宋体"/>
        </w:rPr>
        <w:t>全部</w:t>
      </w:r>
      <w:r>
        <w:rPr>
          <w:rFonts w:ascii="宋体" w:hAnsi="宋体"/>
        </w:rPr>
        <w:t>使用选手所用工具</w:t>
      </w:r>
      <w:bookmarkStart w:id="21" w:name="_TOC_250024"/>
      <w:bookmarkEnd w:id="21"/>
      <w:r>
        <w:rPr>
          <w:rFonts w:hint="eastAsia" w:ascii="宋体" w:hAnsi="宋体"/>
          <w:lang w:eastAsia="zh-CN"/>
        </w:rPr>
        <w:t>，如选手无检测工具，裁判员可使用赛场准备的检测工具进行检测。</w:t>
      </w:r>
      <w:r>
        <w:rPr>
          <w:rFonts w:ascii="宋体" w:hAnsi="宋体"/>
        </w:rPr>
        <w:t>裁判长带领各裁判组按照评分表分工进行评分，各裁判组仅评判选手的作品的一部分，保证公平公正。出现争议，由裁判长组织裁判员表决。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ascii="宋体" w:hAnsi="宋体"/>
        </w:rPr>
      </w:pPr>
      <w:r>
        <w:rPr>
          <w:rFonts w:hint="eastAsia" w:ascii="宋体" w:hAnsi="宋体"/>
        </w:rPr>
        <w:t>具体</w:t>
      </w:r>
      <w:r>
        <w:rPr>
          <w:rFonts w:ascii="宋体" w:hAnsi="宋体"/>
        </w:rPr>
        <w:t>评判分组如下：</w:t>
      </w:r>
    </w:p>
    <w:tbl>
      <w:tblPr>
        <w:tblStyle w:val="15"/>
        <w:tblW w:w="867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1247"/>
        <w:gridCol w:w="4762"/>
        <w:gridCol w:w="18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检测组</w:t>
            </w:r>
          </w:p>
        </w:tc>
        <w:tc>
          <w:tcPr>
            <w:tcW w:w="47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检测内容</w:t>
            </w:r>
          </w:p>
        </w:tc>
        <w:tc>
          <w:tcPr>
            <w:tcW w:w="18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第一组</w:t>
            </w:r>
          </w:p>
        </w:tc>
        <w:tc>
          <w:tcPr>
            <w:tcW w:w="47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图案</w:t>
            </w:r>
            <w:r>
              <w:t>尺寸</w:t>
            </w:r>
          </w:p>
        </w:tc>
        <w:tc>
          <w:tcPr>
            <w:tcW w:w="18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卷尺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第二组</w:t>
            </w:r>
          </w:p>
        </w:tc>
        <w:tc>
          <w:tcPr>
            <w:tcW w:w="47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垂直</w:t>
            </w:r>
            <w:r>
              <w:t>度检测</w:t>
            </w:r>
            <w:r>
              <w:rPr>
                <w:rFonts w:hint="eastAsia"/>
                <w:lang w:eastAsia="zh-CN"/>
              </w:rPr>
              <w:t>、细部</w:t>
            </w:r>
          </w:p>
        </w:tc>
        <w:tc>
          <w:tcPr>
            <w:tcW w:w="18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</w:pPr>
            <w:r>
              <w:rPr>
                <w:rFonts w:hint="eastAsia"/>
              </w:rPr>
              <w:t>线锤、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t>检测的靠尺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</w:t>
            </w:r>
            <w:r>
              <w:t>三组</w:t>
            </w:r>
          </w:p>
        </w:tc>
        <w:tc>
          <w:tcPr>
            <w:tcW w:w="47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平整度</w:t>
            </w:r>
            <w:r>
              <w:t>检测</w:t>
            </w:r>
            <w:r>
              <w:rPr>
                <w:rFonts w:hint="eastAsia"/>
              </w:rPr>
              <w:t>、平直度</w:t>
            </w:r>
            <w:r>
              <w:t>检测</w:t>
            </w:r>
          </w:p>
        </w:tc>
        <w:tc>
          <w:tcPr>
            <w:tcW w:w="18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塞尺、线绳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第四</w:t>
            </w:r>
            <w:r>
              <w:t>组</w:t>
            </w:r>
          </w:p>
        </w:tc>
        <w:tc>
          <w:tcPr>
            <w:tcW w:w="47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主观</w:t>
            </w:r>
            <w:r>
              <w:t>检测</w:t>
            </w:r>
          </w:p>
        </w:tc>
        <w:tc>
          <w:tcPr>
            <w:tcW w:w="18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ind w:firstLine="0"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观察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jc w:val="both"/>
        <w:rPr>
          <w:rFonts w:ascii="宋体" w:hAnsi="宋体"/>
          <w:b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hint="eastAsia" w:ascii="宋体" w:hAnsi="宋体" w:cs="宋体"/>
          <w:b/>
          <w:bCs/>
        </w:rPr>
      </w:pPr>
      <w:bookmarkStart w:id="22" w:name="_Toc3405"/>
      <w:r>
        <w:rPr>
          <w:rFonts w:ascii="宋体" w:hAnsi="宋体" w:cs="宋体"/>
          <w:b/>
          <w:bCs/>
        </w:rPr>
        <w:t>3.3</w:t>
      </w:r>
      <w:r>
        <w:rPr>
          <w:rFonts w:hint="eastAsia" w:ascii="宋体" w:hAnsi="宋体" w:cs="宋体"/>
          <w:b/>
          <w:bCs/>
        </w:rPr>
        <w:t>客观和主观评分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0" w:firstLineChars="0"/>
        <w:jc w:val="both"/>
        <w:textAlignment w:val="auto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val="en-US" w:eastAsia="zh-CN"/>
        </w:rPr>
        <w:t>3.3.1 测量分（客观）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客观满分为10分，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评价分打分方式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每组由3 名及以上裁判构成。每个组所有裁判一起商议，确定评分方案，对选手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作品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进行检测，三位裁判一起确定检测结果并达成一致后最终只给选手一个分值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，三名裁判员共同对测量结果负责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pStyle w:val="8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center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客</w:t>
      </w:r>
      <w:r>
        <w:rPr>
          <w:rFonts w:hint="eastAsia" w:ascii="宋体" w:hAnsi="宋体" w:eastAsia="宋体" w:cs="宋体"/>
          <w:sz w:val="21"/>
          <w:szCs w:val="21"/>
        </w:rPr>
        <w:t>观评分明细表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2557"/>
        <w:gridCol w:w="25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D0D0D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4"/>
                <w:szCs w:val="24"/>
                <w:lang w:val="en-US" w:eastAsia="zh-CN" w:bidi="ar"/>
              </w:rPr>
              <w:t>标准编</w:t>
            </w:r>
            <w:r>
              <w:rPr>
                <w:rFonts w:hint="eastAsia" w:ascii="宋体" w:hAnsi="宋体" w:cs="宋体"/>
                <w:color w:val="0D0D0D"/>
                <w:kern w:val="0"/>
                <w:sz w:val="24"/>
                <w:szCs w:val="24"/>
                <w:lang w:val="en-US" w:eastAsia="zh-CN" w:bidi="ar"/>
              </w:rPr>
              <w:t>号</w:t>
            </w:r>
          </w:p>
        </w:tc>
        <w:tc>
          <w:tcPr>
            <w:tcW w:w="1704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</w:pPr>
          </w:p>
          <w:p>
            <w:pPr>
              <w:bidi w:val="0"/>
              <w:ind w:firstLine="420" w:firstLineChars="200"/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内  容</w:t>
            </w:r>
          </w:p>
        </w:tc>
        <w:tc>
          <w:tcPr>
            <w:tcW w:w="5114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11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分  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704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vertAlign w:val="baseline"/>
              </w:rPr>
            </w:pPr>
          </w:p>
        </w:tc>
        <w:tc>
          <w:tcPr>
            <w:tcW w:w="1704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vertAlign w:val="baseline"/>
              </w:rPr>
            </w:pPr>
          </w:p>
        </w:tc>
        <w:tc>
          <w:tcPr>
            <w:tcW w:w="2557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客观分</w:t>
            </w:r>
          </w:p>
        </w:tc>
        <w:tc>
          <w:tcPr>
            <w:tcW w:w="2557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实测点位数量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图案尺寸</w:t>
            </w:r>
          </w:p>
        </w:tc>
        <w:tc>
          <w:tcPr>
            <w:tcW w:w="2557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36</w:t>
            </w:r>
          </w:p>
        </w:tc>
        <w:tc>
          <w:tcPr>
            <w:tcW w:w="25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水平</w:t>
            </w:r>
          </w:p>
        </w:tc>
        <w:tc>
          <w:tcPr>
            <w:tcW w:w="2557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25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4"/>
                <w:szCs w:val="24"/>
                <w:lang w:val="en-US" w:eastAsia="zh-CN" w:bidi="ar"/>
              </w:rPr>
              <w:t>垂直度</w:t>
            </w:r>
          </w:p>
        </w:tc>
        <w:tc>
          <w:tcPr>
            <w:tcW w:w="2557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25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4"/>
                <w:szCs w:val="24"/>
                <w:lang w:val="en-US" w:eastAsia="zh-CN" w:bidi="ar"/>
              </w:rPr>
              <w:t>对齐平整度</w:t>
            </w:r>
          </w:p>
        </w:tc>
        <w:tc>
          <w:tcPr>
            <w:tcW w:w="2557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25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4"/>
                <w:szCs w:val="24"/>
                <w:lang w:val="en-US" w:eastAsia="zh-CN" w:bidi="ar"/>
              </w:rPr>
              <w:t>细部</w:t>
            </w:r>
          </w:p>
        </w:tc>
        <w:tc>
          <w:tcPr>
            <w:tcW w:w="2557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255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</w:tbl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24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8"/>
          <w:szCs w:val="24"/>
          <w:lang w:val="en-US" w:eastAsia="zh-CN" w:bidi="ar-SA"/>
        </w:rPr>
      </w:pPr>
      <w:bookmarkStart w:id="23" w:name="_Toc15629"/>
      <w:r>
        <w:rPr>
          <w:rFonts w:hint="default" w:asciiTheme="minorEastAsia" w:hAnsiTheme="minorEastAsia" w:eastAsiaTheme="minorEastAsia" w:cstheme="minorEastAsia"/>
          <w:b/>
          <w:bCs/>
          <w:color w:val="auto"/>
          <w:kern w:val="2"/>
          <w:sz w:val="28"/>
          <w:szCs w:val="24"/>
          <w:lang w:val="en-US" w:eastAsia="zh-CN" w:bidi="ar-SA"/>
        </w:rPr>
        <w:t xml:space="preserve">3.3.2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8"/>
          <w:szCs w:val="24"/>
          <w:lang w:val="en-US" w:eastAsia="zh-CN" w:bidi="ar-SA"/>
        </w:rPr>
        <w:t>评价分（主观）</w:t>
      </w:r>
      <w:bookmarkEnd w:id="23"/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8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主观满分为10分，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评价分打分方式：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3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名裁判为一组，各自单独评分，分别给出权重分值，分值为“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”、“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”、“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”，然后计算出平均权重分，除以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3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后再乘以该子项的分值计算出实际得分。裁判相互间分差必须小于等于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 xml:space="preserve">1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分，否则评分无效，各自需要给出确切理由并在小组长或 裁判长的监督下重新评分。 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24" w:name="_Toc18287"/>
      <w:r>
        <w:rPr>
          <w:rFonts w:hint="eastAsia" w:ascii="宋体" w:hAnsi="宋体" w:eastAsia="宋体" w:cs="宋体"/>
          <w:b/>
          <w:bCs/>
          <w:sz w:val="28"/>
          <w:szCs w:val="28"/>
        </w:rPr>
        <w:t>3.4裁判员组成和分</w:t>
      </w:r>
      <w:bookmarkStart w:id="25" w:name="_Toc30208"/>
      <w:bookmarkStart w:id="26" w:name="_Toc524170446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工</w:t>
      </w:r>
      <w:bookmarkEnd w:id="24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本次竞赛设立专家组，负责编写技术文件、命题和落实赛场设备设施（含工具物料）保障。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本次竞赛设立裁判组，由 1 名裁判长，若干裁判员组成。裁判长由专家组长兼任。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bookmarkStart w:id="27" w:name="_Toc19414"/>
      <w:r>
        <w:rPr>
          <w:rFonts w:hint="eastAsia" w:ascii="宋体" w:hAnsi="宋体" w:eastAsia="宋体" w:cs="宋体"/>
          <w:b/>
          <w:bCs/>
          <w:sz w:val="21"/>
          <w:szCs w:val="21"/>
        </w:rPr>
        <w:t>3.4.1裁判长</w:t>
      </w:r>
      <w:bookmarkEnd w:id="25"/>
      <w:bookmarkEnd w:id="26"/>
      <w:bookmarkEnd w:id="27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裁判长按照本技术规则和本项目技术文件，编制评分细则，对裁判员进行培训和工作分工；带领裁判员对本项目比赛设备设施和现场布置情况进行检验；组织选手进行安全培训并熟悉赛场及设备，保证所有选手在比赛前掌握必备的安全知识和安全操作规范；比赛期间组织裁判员执裁，并按照相关要求和程序，处理项目内出现的问题；组织统计、汇总并及时录入竞赛成绩等工作；赛后组织开展技术点评。 裁判长应公平公正组织执裁工作，不参与评分。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left"/>
        <w:textAlignment w:val="auto"/>
        <w:rPr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3.4.</w:t>
      </w:r>
      <w:r>
        <w:rPr>
          <w:rFonts w:hint="eastAsia" w:ascii="宋体" w:hAnsi="宋体" w:cs="宋体"/>
          <w:b/>
          <w:color w:val="000000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 xml:space="preserve"> 裁判员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裁判人员需在本项目领域有工作经验、大赛管理或执裁经验，赛前需参加技术规则培训，掌握大赛技术规则、项目技术文件等要求。裁判员应服从本项目裁判长的工作安排，诚实、客观和公正执裁。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根据裁判员的相关工作经验以及赛前培训的情况，裁判员分成多个小组：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监考组：主要负责竞赛现场监考工作和安全巡查，做好维护赛场纪律；记录赛场情况，做好监考记录；纠正选手违规行为，并对情节严重者及时向裁判长报告作好记录并给出处罚结果；核查实际操作竞赛使用材料、设备；记录每位选手的实际工作时间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评判组：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每个评判组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负责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该组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竞赛结果的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实测实量，并将实测实量数据进行记录，并经每位评判组成员签字确认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评分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及录分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小组：由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评分员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录分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员组成，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评分员需将各评判组给出的客观分与主观分进行计算及汇总，得出每个工位选手的最终得分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。每项检测评分结果小组成员均需签字确认，然后报裁判长复核后，由录分员录入系统。</w:t>
      </w:r>
    </w:p>
    <w:p>
      <w:pPr>
        <w:pStyle w:val="8"/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textAlignment w:val="auto"/>
        <w:rPr>
          <w:rFonts w:hint="eastAsia" w:ascii="黑体" w:hAnsi="黑体" w:eastAsia="黑体" w:cs="黑体"/>
          <w:b/>
          <w:bCs w:val="0"/>
          <w:sz w:val="32"/>
          <w:szCs w:val="32"/>
        </w:rPr>
      </w:pPr>
      <w:bookmarkStart w:id="28" w:name="_Toc17070"/>
      <w:r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4.竞赛相关设施设备</w:t>
      </w:r>
      <w:bookmarkEnd w:id="28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bookmarkStart w:id="29" w:name="_Toc17905"/>
      <w:r>
        <w:rPr>
          <w:rFonts w:hint="eastAsia" w:ascii="宋体" w:hAnsi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.1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赛场</w:t>
      </w:r>
      <w:r>
        <w:rPr>
          <w:rFonts w:hint="eastAsia" w:ascii="宋体" w:hAnsi="宋体" w:eastAsia="宋体" w:cs="宋体"/>
          <w:sz w:val="21"/>
          <w:szCs w:val="21"/>
        </w:rPr>
        <w:t>材料准备</w:t>
      </w:r>
      <w:bookmarkEnd w:id="29"/>
    </w:p>
    <w:tbl>
      <w:tblPr>
        <w:tblStyle w:val="15"/>
        <w:tblW w:w="870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098"/>
        <w:gridCol w:w="2382"/>
        <w:gridCol w:w="2064"/>
        <w:gridCol w:w="1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材料/工具名称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规格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数量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标 准 砖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×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×53mm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0块/工位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干混砂浆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M5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0.2m³/工位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施工用水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无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无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确保使用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配 电 箱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无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无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确保使用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电源插座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多孔组合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工位数量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确保使用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铁    锹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150mm×23mm×29mm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清理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铲灰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扫    帚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庭院使用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清理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扫面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大 水 桶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18L铁质手柄水桶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1个/工位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蓄水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水    勺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塑料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1个/工位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湿砖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自喷漆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蓝色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或黄色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个/工位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图案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警戒线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无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赛场标识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及警戒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标识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手 推 车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3.0斗+钢丝圈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赛场提供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清理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供灰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搅拌机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赛场提供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搅拌砂浆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全密封护目镜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（劳保防护）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高清护目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赛场提供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切割使用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防尘口罩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七层活性炭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赛场提供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切割使用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钢结构遮阳棚</w:t>
            </w:r>
          </w:p>
        </w:tc>
        <w:tc>
          <w:tcPr>
            <w:tcW w:w="23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满足工位需求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赛场提供</w:t>
            </w:r>
          </w:p>
        </w:tc>
        <w:tc>
          <w:tcPr>
            <w:tcW w:w="141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竞赛使用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ascii="宋体" w:hAnsi="宋体" w:cs="宋体"/>
          <w:b/>
          <w:bCs/>
        </w:rPr>
      </w:pPr>
      <w:bookmarkStart w:id="30" w:name="_Toc26869"/>
      <w:r>
        <w:rPr>
          <w:rFonts w:ascii="宋体" w:hAnsi="宋体" w:cs="宋体"/>
          <w:b/>
          <w:bCs/>
        </w:rPr>
        <w:t>4.2</w:t>
      </w:r>
      <w:r>
        <w:rPr>
          <w:rFonts w:hint="eastAsia" w:ascii="宋体" w:hAnsi="宋体" w:cs="宋体"/>
          <w:b/>
          <w:bCs/>
        </w:rPr>
        <w:t>选手自带物品</w:t>
      </w:r>
      <w:bookmarkEnd w:id="30"/>
    </w:p>
    <w:bookmarkEnd w:id="0"/>
    <w:bookmarkEnd w:id="1"/>
    <w:bookmarkEnd w:id="2"/>
    <w:bookmarkEnd w:id="3"/>
    <w:bookmarkEnd w:id="4"/>
    <w:bookmarkEnd w:id="5"/>
    <w:tbl>
      <w:tblPr>
        <w:tblStyle w:val="15"/>
        <w:tblW w:w="866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181"/>
        <w:gridCol w:w="2236"/>
        <w:gridCol w:w="2098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材料/工具名称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规格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数量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大铲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三角、桃形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灰桶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口径420mm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个/工位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靠尺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2m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靠尺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皮数杆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自做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根/工位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钢卷尺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5m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线  锤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600g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红蓝铅笔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直径7mm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1根/工位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小扫帚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小号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清扫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墨斗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黑色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防尘切割机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及防尘袋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微型电动潜水小泵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环保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套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切割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11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勾缝工具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10mm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1根/工位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勾缝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毛巾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34cm×72cm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1条/工位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清理面层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13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榔头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750g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14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工具袋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帆布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存放工具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15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插座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多孔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机械使用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毛刷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2寸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清理细部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17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工程线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白色尼龙工程线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砌筑专用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18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防护用品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绝缘鞋、手套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绝缘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1套/工位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电器使用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19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激光水准仪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水 平 尺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5m±1mm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1000mm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1套/工位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找平使用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</w:t>
            </w:r>
          </w:p>
        </w:tc>
        <w:tc>
          <w:tcPr>
            <w:tcW w:w="2181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拐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尺</w:t>
            </w:r>
          </w:p>
        </w:tc>
        <w:tc>
          <w:tcPr>
            <w:tcW w:w="2236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不锈钢材质</w:t>
            </w:r>
          </w:p>
        </w:tc>
        <w:tc>
          <w:tcPr>
            <w:tcW w:w="2098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1把/工位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角度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rPr>
          <w:rFonts w:hint="eastAsia" w:ascii="宋体" w:hAnsi="宋体" w:eastAsia="宋体" w:cs="宋体"/>
          <w:sz w:val="28"/>
          <w:szCs w:val="28"/>
        </w:rPr>
      </w:pPr>
      <w:bookmarkStart w:id="31" w:name="_Toc18000636"/>
      <w:bookmarkStart w:id="32" w:name="_Toc19723293"/>
      <w:bookmarkStart w:id="33" w:name="_Toc17994154"/>
      <w:bookmarkStart w:id="34" w:name="_Toc3310"/>
      <w:bookmarkStart w:id="35" w:name="_Toc19723501"/>
      <w:r>
        <w:rPr>
          <w:rFonts w:hint="eastAsia" w:ascii="宋体" w:hAnsi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3裁判组材料准备</w:t>
      </w:r>
      <w:bookmarkEnd w:id="31"/>
      <w:bookmarkEnd w:id="32"/>
      <w:bookmarkEnd w:id="33"/>
      <w:bookmarkEnd w:id="34"/>
      <w:bookmarkEnd w:id="35"/>
    </w:p>
    <w:tbl>
      <w:tblPr>
        <w:tblStyle w:val="15"/>
        <w:tblW w:w="911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2435"/>
        <w:gridCol w:w="2282"/>
        <w:gridCol w:w="1979"/>
        <w:gridCol w:w="13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材料/工具名称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规格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数量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2m靠尺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2m铝合金靠尺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塞  尺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楔形游标塞尺0.5mm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5m卷尺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5m不锈钢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百格网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240×115×3mm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15cm加厚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不锈钢直尺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15cm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线  锤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600g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1个/组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检测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校正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红蓝铅笔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直径7mm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1根/组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中性笔（黑色）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0.5mm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2根/组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美工刀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小号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1把/组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削铅笔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抽拉杆文件夹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A4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2个/组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文件存放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624" w:hRule="atLeast"/>
          <w:jc w:val="center"/>
        </w:trPr>
        <w:tc>
          <w:tcPr>
            <w:tcW w:w="1060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11</w:t>
            </w:r>
          </w:p>
        </w:tc>
        <w:tc>
          <w:tcPr>
            <w:tcW w:w="2435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数显角度尺</w:t>
            </w:r>
          </w:p>
        </w:tc>
        <w:tc>
          <w:tcPr>
            <w:tcW w:w="228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0～360°</w:t>
            </w:r>
          </w:p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不锈钢材质</w:t>
            </w:r>
          </w:p>
        </w:tc>
        <w:tc>
          <w:tcPr>
            <w:tcW w:w="1979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2把</w:t>
            </w:r>
          </w:p>
        </w:tc>
        <w:tc>
          <w:tcPr>
            <w:tcW w:w="1362" w:type="dxa"/>
            <w:noWrap w:val="0"/>
            <w:vAlign w:val="center"/>
          </w:tcPr>
          <w:p>
            <w:pPr>
              <w:pStyle w:val="36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角度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b/>
          <w:bCs/>
          <w:color w:val="0000FF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textAlignment w:val="auto"/>
        <w:rPr>
          <w:rFonts w:hint="eastAsia" w:ascii="黑体" w:hAnsi="黑体" w:eastAsia="黑体" w:cs="黑体"/>
          <w:b/>
          <w:bCs w:val="0"/>
          <w:lang w:val="en-US" w:eastAsia="zh-CN"/>
        </w:rPr>
      </w:pPr>
      <w:bookmarkStart w:id="36" w:name="_Toc32675"/>
      <w:r>
        <w:rPr>
          <w:rFonts w:hint="eastAsia" w:ascii="黑体" w:hAnsi="黑体" w:eastAsia="黑体" w:cs="黑体"/>
          <w:b/>
          <w:bCs w:val="0"/>
          <w:lang w:val="en-US" w:eastAsia="zh-CN"/>
        </w:rPr>
        <w:t>5.项目特别规定</w:t>
      </w:r>
      <w:bookmarkEnd w:id="36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ascii="宋体" w:hAnsi="宋体" w:cs="宋体"/>
          <w:b/>
          <w:bCs/>
        </w:rPr>
      </w:pPr>
      <w:bookmarkStart w:id="37" w:name="_Toc15000"/>
      <w:r>
        <w:rPr>
          <w:rFonts w:hint="eastAsia" w:ascii="宋体" w:hAnsi="宋体" w:cs="宋体"/>
          <w:b/>
          <w:bCs/>
          <w:lang w:val="en-US" w:eastAsia="zh-CN"/>
        </w:rPr>
        <w:t>5.1 赛前</w:t>
      </w:r>
      <w:bookmarkEnd w:id="37"/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根据各项目实际需要，各项目裁判长与承办单位于赛前2-3 天对场地设备设施等准备工作进行最终确认；各项目裁判长与裁判员于赛前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至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天进行集中培训、技术对接和设备设施、耗材确认。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赛前1天，由裁判长组织裁判员召开赛前技术答疑。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参赛选手报到时需领取参赛证、参赛资料、参赛物料、餐券、抽取参赛选手编号，报到完毕后提前前往赛场，熟悉场地。选手的出场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场次由选手在赛前技术答疑后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以由抽签决定，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选手的工位号，在比赛当天检录时现场抽签决定。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赛前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30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分钟，到指定检录口进行检录，由检录人员核实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选手身份、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编号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及场次号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，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并现场抽签确定工位号。开赛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后迟到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15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分钟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及以上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的选手视为自动放弃参赛。 选手着装整洁，安全帽、劳动保护用品佩戴齐全。但不得有能表明身份的标识。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检录完毕，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选手需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接受监考裁判对所带物品的检查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，由裁判员核实携带物品后，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每位选手按照选手抽签工位号到指定位置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所有通讯、照相、 摄像、磁盘等工具一律不得带入比赛现场。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38" w:name="_Toc944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5.2 赛中</w:t>
      </w:r>
      <w:bookmarkEnd w:id="38"/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1.在竞赛过程中，选手应遵守安全操作规程，接受裁判员的监督和警示， 确保参赛选手人身安全及设备安全。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竞赛过程中严禁交头接耳，也不能相互借用工具、仪器仪表。各参赛选手间不能走动、交谈。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3.由裁判长统一告知选手比赛规则、时间和流程后，裁判长宣布比赛正式开始并计时。 比赛过程中，选手若需休息、饮水或去洗手间，一律计算在操作时间内。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4.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选手进入赛场后，不得擅自离开赛场，因病或其他原因离开赛场或终止比赛，应向裁判示意，须经赛场裁判长同意，并在赛场记录表上签字确认后，方可离开赛场并在赛场工作人员指引下到达指定地点。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5.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因参赛选手个人误操作造成人身安全事故或设备故障时，裁判长有权中止选手竞赛。如非参赛选手个人因素出现的设备或工具故障而无法继续 竞赛时，参赛选手可提出更换设备或工具的要求，同意并更换后，参赛选手可继续参加竞赛，并给参赛选手补足所耽误的竞赛时间。选手自带设备和工具，赛场不负责更换。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6.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参赛选手如提前结束竞赛，应举手向裁判员报告，竞赛结束时间由裁判员进行记录。参赛选手结束竞赛后不得再进行任何操作，离场后也不得再进入赛场。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7.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裁判长在竞赛结束前 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30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分钟、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10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分钟进行竞赛剩余时间提醒。裁判长发布竞赛结束指令后，未完成任务的参赛选手应立即停止操作，不得以任何理由拖延竞赛时间，并按要求清理赛位。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8.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选手须按照程序提交比赛结果（任务书、报告），配合裁判做好赛场情况记录，并签字确认，裁判提出签名要求时，不得无故拒绝。</w:t>
      </w:r>
    </w:p>
    <w:p>
      <w:pPr>
        <w:pStyle w:val="8"/>
        <w:rPr>
          <w:rFonts w:hint="default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9.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竞赛过程中，领队、指导教师等非参赛选手不得进入竞赛场地。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240" w:lineRule="auto"/>
        <w:textAlignment w:val="auto"/>
        <w:rPr>
          <w:rFonts w:hint="eastAsia" w:ascii="宋体" w:hAnsi="宋体" w:cs="宋体"/>
          <w:b/>
          <w:bCs/>
          <w:lang w:val="en-US" w:eastAsia="zh-CN"/>
        </w:rPr>
      </w:pPr>
      <w:bookmarkStart w:id="39" w:name="_Toc24819"/>
      <w:r>
        <w:rPr>
          <w:rFonts w:hint="eastAsia" w:ascii="宋体" w:hAnsi="宋体" w:cs="宋体"/>
          <w:b/>
          <w:bCs/>
          <w:lang w:val="en-US" w:eastAsia="zh-CN"/>
        </w:rPr>
        <w:t>5.3 违规情形</w:t>
      </w:r>
      <w:bookmarkEnd w:id="39"/>
      <w:r>
        <w:rPr>
          <w:rFonts w:hint="eastAsia" w:ascii="宋体" w:hAnsi="宋体" w:cs="宋体"/>
          <w:b/>
          <w:bCs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1.不得携带其他未经组委会认可的设备、工具、机具、材料等参赛，不听劝告的取消比赛资格。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竞赛过程中，选手不得接受场外送进的材料、加工过的半成品等。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3.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选手不得损坏、拆卸、改装赛场提供的设备、工具和工作台等设施。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4.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选手不得在任何竞赛区域、位置、赛件上作任何涉嫌作弊的标记。如比赛开始前发现有明显痕迹，可上报裁判员进行处理，严重者可按作弊处理。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5.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在完成竞赛任务的过程中，因操作不当导致事故，扣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～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20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分，情况严重者取消比赛资格。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6.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因违规操作损坏赛场提供的设备、污染赛场环境等不符合职业规范的行为，视情节扣 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5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～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分。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7.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扰乱赛场秩序，干扰裁判员工作，视情节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5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～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分，情况严重者取消比赛资格。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40" w:name="_Toc27702"/>
      <w:r>
        <w:rPr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6.健康、安全和环保要求</w:t>
      </w:r>
      <w:bookmarkEnd w:id="40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 xml:space="preserve"> 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41" w:name="_Toc15156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6.1 比赛环境</w:t>
      </w:r>
      <w:bookmarkEnd w:id="41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 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hint="eastAsia" w:ascii="宋体" w:hAnsi="宋体" w:cs="宋体"/>
          <w:b w:val="0"/>
          <w:bCs/>
          <w:sz w:val="21"/>
          <w:szCs w:val="21"/>
        </w:rPr>
      </w:pPr>
      <w:bookmarkStart w:id="42" w:name="_Toc11799"/>
      <w:r>
        <w:rPr>
          <w:rFonts w:hint="eastAsia" w:ascii="宋体" w:hAnsi="宋体" w:cs="宋体"/>
          <w:b w:val="0"/>
          <w:bCs/>
          <w:sz w:val="21"/>
          <w:szCs w:val="21"/>
        </w:rPr>
        <w:t>每个竞赛工位的面积约为</w:t>
      </w:r>
      <w:r>
        <w:rPr>
          <w:rFonts w:ascii="宋体" w:hAnsi="宋体" w:cs="宋体"/>
          <w:b w:val="0"/>
          <w:bCs/>
          <w:sz w:val="21"/>
          <w:szCs w:val="21"/>
        </w:rPr>
        <w:t>16</w:t>
      </w:r>
      <w:r>
        <w:rPr>
          <w:rFonts w:hint="eastAsia" w:ascii="宋体" w:hAnsi="宋体" w:cs="宋体"/>
          <w:b w:val="0"/>
          <w:bCs/>
          <w:sz w:val="21"/>
          <w:szCs w:val="21"/>
        </w:rPr>
        <w:t>平米如图所示</w:t>
      </w:r>
      <w:bookmarkEnd w:id="42"/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-45720</wp:posOffset>
            </wp:positionV>
            <wp:extent cx="4972685" cy="5074285"/>
            <wp:effectExtent l="0" t="0" r="635" b="10795"/>
            <wp:wrapSquare wrapText="bothSides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268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竞赛场地光线充足，照明良好；供电供水设施正常且安全有保障；场地整洁；每个赛位占地不小于 1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vertAlign w:val="superscript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4m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×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4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），场地净高不低于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4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，且标明赛位号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、材料堆放区、切砖区、砌筑区，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每个竞赛赛位提供 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380V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、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220V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交流电源，每个赛位提供独立的电源保护装置和安全保护措施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，并有确保竞赛顺利进行的防雨措施。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竞赛场地设置隔离带，非裁判员、参赛选手、工作人员不得进入比赛场地；竞赛场地设置检录区、竞赛操作区、裁判评判区、工具材料区、选手休息（候赛）区、观摩通道等区域，并根据需要设置选手自带工具材料柜等。对于比赛过程中试题始终保密的赛项，要在赛场设置选手封闭室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封闭室应与比赛区域物理隔离，配备志愿者，严禁无关人员进入，严禁与外界交流。各区域之间有明显标志或警示带；标明消防器材、安全通道、洗手间等位置。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赛场设有保安、公安、消防、医疗、设备维修和电力抢险人员待命，以防突发事件；赛场还应设有生活补给站等公共服务设施，为选手和赛场人员提供服务。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赛场设置安全通道和警戒线，确保进入赛场的大赛参观、采访、视察的人员限定在安全区域内活动，以保证大赛安全有序进行。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6.2 安全教育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1.选手参赛前应接受过系统的职业安全教育。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赛前裁判长宣读竞赛规则、安全注意事项。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3.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选手需自备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安全帽、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安全鞋、工作服、护目镜等，进入比赛区域前必须将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安全帽、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工作服、安全鞋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穿戴得当（不穿戴工作服、安全鞋的选手不得进行考场）。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安全帽及工作服等物品不得出现地方及企业标识。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4.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在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切砖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时必须佩戴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安全帽、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防护镜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及防护口罩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，防止受到伤害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 w:bidi="ar"/>
        </w:rPr>
        <w:t>，如选手由于个人原因需佩戴其他眼镜时，经裁判许可，可替代防护眼镜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5.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任何时候，参赛选手不得带电修改电气线路。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6.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裁判、技术人员、选手应严格遵守设备安全操作规程。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cs="宋体"/>
          <w:b/>
          <w:bCs/>
          <w:lang w:val="en-US" w:eastAsia="zh-CN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7.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竞赛过程中，技术支持人员有责任对选手使用的设备安全进行监护，发现问题及时制止，避免发生设备损坏。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3" w:afterLines="100" w:line="240" w:lineRule="auto"/>
        <w:textAlignment w:val="auto"/>
        <w:rPr>
          <w:rFonts w:hint="eastAsia" w:ascii="宋体" w:hAnsi="宋体" w:cs="宋体"/>
          <w:b/>
          <w:bCs/>
          <w:lang w:val="en-US" w:eastAsia="zh-CN"/>
        </w:rPr>
      </w:pPr>
      <w:bookmarkStart w:id="43" w:name="_Toc29124"/>
      <w:r>
        <w:rPr>
          <w:rFonts w:hint="eastAsia" w:ascii="宋体" w:hAnsi="宋体" w:cs="宋体"/>
          <w:b/>
          <w:bCs/>
          <w:lang w:val="en-US" w:eastAsia="zh-CN"/>
        </w:rPr>
        <w:t>6.3 环境保护</w:t>
      </w:r>
      <w:bookmarkEnd w:id="43"/>
      <w:r>
        <w:rPr>
          <w:rFonts w:hint="eastAsia" w:ascii="宋体" w:hAnsi="宋体" w:cs="宋体"/>
          <w:b/>
          <w:bCs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竞赛相关人员，要注意保持环境整洁卫生，垃圾集中存放。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竞赛人员要做好劳动保护，按照要求穿戴工作服装、安全鞋、手套、安全眼镜等劳保用品，遵守职业规范。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竞赛相关人员必须保持场地秩序，有序进入规定线路和区域。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交通路线、走廊、楼梯、紧急疏散通道必须保持畅通无障碍，灭火器等消防救生设备齐全有效。 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5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.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 xml:space="preserve">每场竞赛结束后，选手要做到工完场清，赛场保洁人员要保障赛场整体的环境卫生，体现安全、整洁、有序，将垃圾分类处理。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color w:val="FF0000"/>
          <w:u w:val="wave"/>
          <w:lang w:val="en-US" w:eastAsia="zh-CN"/>
        </w:rPr>
      </w:pPr>
    </w:p>
    <w:sectPr>
      <w:headerReference r:id="rId6" w:type="first"/>
      <w:footerReference r:id="rId8" w:type="first"/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PMingLiU">
    <w:panose1 w:val="02020300000000000000"/>
    <w:charset w:val="88"/>
    <w:family w:val="roman"/>
    <w:pitch w:val="default"/>
    <w:sig w:usb0="00000003" w:usb1="082E0000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0lY7tAAAAAFAQAADwAAAAAAAAABACAAAAAiAAAAZHJzL2Rvd25yZXYueG1sUEsBAhQAFAAA&#10;AAgAh07iQCXoPq2+AQAAYgMAAA4AAAAAAAAAAQAgAAAAHwEAAGRycy9lMm9Eb2MueG1sUEsFBgAA&#10;AAAGAAYAWQEAAE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zSVju0AAAAAUBAAAPAAAAAAAAAAEAIAAAACIAAABkcnMvZG93bnJldi54bWxQSwECFAAUAAAA&#10;CACHTuJA20f9+70BAABiAwAADgAAAAAAAAABACAAAAAfAQAAZHJzL2Uyb0RvYy54bWxQSwUGAAAA&#10;AAYABgBZAQAAT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left" w:pos="1183"/>
        <w:tab w:val="center" w:pos="4212"/>
      </w:tabs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0NWQ5ZmNkNTRjNzA1ZmEzZjBjNmJjZWZhNzhjNDAifQ=="/>
  </w:docVars>
  <w:rsids>
    <w:rsidRoot w:val="00DE10FA"/>
    <w:rsid w:val="00046DA7"/>
    <w:rsid w:val="00082DAF"/>
    <w:rsid w:val="000A0AE5"/>
    <w:rsid w:val="000B777F"/>
    <w:rsid w:val="000C2F41"/>
    <w:rsid w:val="000C324A"/>
    <w:rsid w:val="001925A9"/>
    <w:rsid w:val="001A5099"/>
    <w:rsid w:val="00252FDE"/>
    <w:rsid w:val="002A1C4C"/>
    <w:rsid w:val="002A698E"/>
    <w:rsid w:val="002C1577"/>
    <w:rsid w:val="002C446C"/>
    <w:rsid w:val="002D4ACF"/>
    <w:rsid w:val="0038282E"/>
    <w:rsid w:val="00393F6E"/>
    <w:rsid w:val="003D6206"/>
    <w:rsid w:val="003E084F"/>
    <w:rsid w:val="003F19FC"/>
    <w:rsid w:val="00432C48"/>
    <w:rsid w:val="00441B38"/>
    <w:rsid w:val="00442A80"/>
    <w:rsid w:val="004854B4"/>
    <w:rsid w:val="00486AC7"/>
    <w:rsid w:val="004C40FA"/>
    <w:rsid w:val="004D1FC2"/>
    <w:rsid w:val="004E453A"/>
    <w:rsid w:val="004F6EBB"/>
    <w:rsid w:val="00536237"/>
    <w:rsid w:val="0057506C"/>
    <w:rsid w:val="005D647C"/>
    <w:rsid w:val="00604EBE"/>
    <w:rsid w:val="00657F76"/>
    <w:rsid w:val="00662E44"/>
    <w:rsid w:val="00676CDF"/>
    <w:rsid w:val="006931B1"/>
    <w:rsid w:val="006A28BB"/>
    <w:rsid w:val="006D7E08"/>
    <w:rsid w:val="0074543C"/>
    <w:rsid w:val="00747C91"/>
    <w:rsid w:val="00797AF5"/>
    <w:rsid w:val="007B14C3"/>
    <w:rsid w:val="007C4135"/>
    <w:rsid w:val="0087308D"/>
    <w:rsid w:val="00884EAB"/>
    <w:rsid w:val="00891B87"/>
    <w:rsid w:val="008D324F"/>
    <w:rsid w:val="008F0C7A"/>
    <w:rsid w:val="009725BE"/>
    <w:rsid w:val="009F4628"/>
    <w:rsid w:val="00A229D0"/>
    <w:rsid w:val="00A52DC9"/>
    <w:rsid w:val="00AC2BD2"/>
    <w:rsid w:val="00AD1A4E"/>
    <w:rsid w:val="00B05010"/>
    <w:rsid w:val="00B6332F"/>
    <w:rsid w:val="00B95E61"/>
    <w:rsid w:val="00BC2B62"/>
    <w:rsid w:val="00BE67F1"/>
    <w:rsid w:val="00C162F9"/>
    <w:rsid w:val="00C35349"/>
    <w:rsid w:val="00C84D46"/>
    <w:rsid w:val="00C861F8"/>
    <w:rsid w:val="00D53124"/>
    <w:rsid w:val="00DE10FA"/>
    <w:rsid w:val="00DF525F"/>
    <w:rsid w:val="00E32AC3"/>
    <w:rsid w:val="00E45F60"/>
    <w:rsid w:val="00E4782F"/>
    <w:rsid w:val="00F14D79"/>
    <w:rsid w:val="00F6369C"/>
    <w:rsid w:val="00F67F4D"/>
    <w:rsid w:val="00F72448"/>
    <w:rsid w:val="00FB0C37"/>
    <w:rsid w:val="00FC66C3"/>
    <w:rsid w:val="015F51E5"/>
    <w:rsid w:val="016C5581"/>
    <w:rsid w:val="018449A0"/>
    <w:rsid w:val="01F101DB"/>
    <w:rsid w:val="021022EA"/>
    <w:rsid w:val="022A1B90"/>
    <w:rsid w:val="022F604D"/>
    <w:rsid w:val="023922D4"/>
    <w:rsid w:val="02460C07"/>
    <w:rsid w:val="033E6B87"/>
    <w:rsid w:val="04137821"/>
    <w:rsid w:val="04147C2D"/>
    <w:rsid w:val="041A6225"/>
    <w:rsid w:val="04262C13"/>
    <w:rsid w:val="0469147C"/>
    <w:rsid w:val="04701E3B"/>
    <w:rsid w:val="04802028"/>
    <w:rsid w:val="048561D5"/>
    <w:rsid w:val="04DC77F8"/>
    <w:rsid w:val="057938CF"/>
    <w:rsid w:val="05FC0DDC"/>
    <w:rsid w:val="062C4F28"/>
    <w:rsid w:val="06C23F31"/>
    <w:rsid w:val="07782516"/>
    <w:rsid w:val="07E011FC"/>
    <w:rsid w:val="08094535"/>
    <w:rsid w:val="08353DE9"/>
    <w:rsid w:val="084E2C27"/>
    <w:rsid w:val="08B81D1A"/>
    <w:rsid w:val="09385E0E"/>
    <w:rsid w:val="095A593D"/>
    <w:rsid w:val="0A4F4D50"/>
    <w:rsid w:val="0AEB0AB7"/>
    <w:rsid w:val="0B646D85"/>
    <w:rsid w:val="0B712C0F"/>
    <w:rsid w:val="0C211B60"/>
    <w:rsid w:val="0C230710"/>
    <w:rsid w:val="0C700034"/>
    <w:rsid w:val="0CAE7888"/>
    <w:rsid w:val="0CB63F55"/>
    <w:rsid w:val="0D46476C"/>
    <w:rsid w:val="0E577699"/>
    <w:rsid w:val="0E760812"/>
    <w:rsid w:val="0FD568D3"/>
    <w:rsid w:val="10456CF7"/>
    <w:rsid w:val="10D40D1D"/>
    <w:rsid w:val="10DD6FEC"/>
    <w:rsid w:val="10FC463B"/>
    <w:rsid w:val="1101768E"/>
    <w:rsid w:val="113E5344"/>
    <w:rsid w:val="1205435B"/>
    <w:rsid w:val="14051F02"/>
    <w:rsid w:val="141647BB"/>
    <w:rsid w:val="14C278C9"/>
    <w:rsid w:val="1624385C"/>
    <w:rsid w:val="16C54A13"/>
    <w:rsid w:val="17037D01"/>
    <w:rsid w:val="17E05E5C"/>
    <w:rsid w:val="188C51C5"/>
    <w:rsid w:val="193074CE"/>
    <w:rsid w:val="1A0862C4"/>
    <w:rsid w:val="1A6A72FA"/>
    <w:rsid w:val="1A7F284D"/>
    <w:rsid w:val="1A9733B7"/>
    <w:rsid w:val="1B1A6852"/>
    <w:rsid w:val="1B52730E"/>
    <w:rsid w:val="1BC77049"/>
    <w:rsid w:val="1C0D1E17"/>
    <w:rsid w:val="1C0F6CE5"/>
    <w:rsid w:val="1C48449C"/>
    <w:rsid w:val="1C6537AA"/>
    <w:rsid w:val="1C740600"/>
    <w:rsid w:val="1C8C55A9"/>
    <w:rsid w:val="1E3A06DF"/>
    <w:rsid w:val="1E4E6023"/>
    <w:rsid w:val="1E5B3C1B"/>
    <w:rsid w:val="1E6A1622"/>
    <w:rsid w:val="1E6A47A0"/>
    <w:rsid w:val="1E925F2B"/>
    <w:rsid w:val="1E9E4875"/>
    <w:rsid w:val="1ECC65E1"/>
    <w:rsid w:val="1FCD1A15"/>
    <w:rsid w:val="1FE135BE"/>
    <w:rsid w:val="1FFE432D"/>
    <w:rsid w:val="20157F59"/>
    <w:rsid w:val="20584A75"/>
    <w:rsid w:val="20621FBA"/>
    <w:rsid w:val="20921FC6"/>
    <w:rsid w:val="20D67B8D"/>
    <w:rsid w:val="216C2298"/>
    <w:rsid w:val="216F7BC6"/>
    <w:rsid w:val="21A91A7B"/>
    <w:rsid w:val="220422F3"/>
    <w:rsid w:val="22B02DEC"/>
    <w:rsid w:val="22CA14E3"/>
    <w:rsid w:val="22CF1918"/>
    <w:rsid w:val="231363D8"/>
    <w:rsid w:val="231748A4"/>
    <w:rsid w:val="23325A78"/>
    <w:rsid w:val="23390FB9"/>
    <w:rsid w:val="23451616"/>
    <w:rsid w:val="237D4995"/>
    <w:rsid w:val="24214ECE"/>
    <w:rsid w:val="249206AA"/>
    <w:rsid w:val="250D01AB"/>
    <w:rsid w:val="25421A23"/>
    <w:rsid w:val="25761BF7"/>
    <w:rsid w:val="25777585"/>
    <w:rsid w:val="25CE7367"/>
    <w:rsid w:val="25D14899"/>
    <w:rsid w:val="260B547B"/>
    <w:rsid w:val="2614636F"/>
    <w:rsid w:val="2662602D"/>
    <w:rsid w:val="26A35301"/>
    <w:rsid w:val="26BF6B78"/>
    <w:rsid w:val="26DD6BBE"/>
    <w:rsid w:val="27611B68"/>
    <w:rsid w:val="277E65BD"/>
    <w:rsid w:val="27B2695C"/>
    <w:rsid w:val="27CB1A05"/>
    <w:rsid w:val="27F04C45"/>
    <w:rsid w:val="27F46082"/>
    <w:rsid w:val="282200AF"/>
    <w:rsid w:val="283C59C2"/>
    <w:rsid w:val="285C1DE0"/>
    <w:rsid w:val="290840E3"/>
    <w:rsid w:val="296C0A83"/>
    <w:rsid w:val="29846EDC"/>
    <w:rsid w:val="29974287"/>
    <w:rsid w:val="299D2E93"/>
    <w:rsid w:val="2A1844E0"/>
    <w:rsid w:val="2A1F0C07"/>
    <w:rsid w:val="2A3310E0"/>
    <w:rsid w:val="2A624187"/>
    <w:rsid w:val="2AD20A9A"/>
    <w:rsid w:val="2AED793F"/>
    <w:rsid w:val="2B561D9C"/>
    <w:rsid w:val="2B7C561C"/>
    <w:rsid w:val="2BB30588"/>
    <w:rsid w:val="2C8D0D0F"/>
    <w:rsid w:val="2C8F2268"/>
    <w:rsid w:val="2CFC300D"/>
    <w:rsid w:val="2D2F1D51"/>
    <w:rsid w:val="2D77187F"/>
    <w:rsid w:val="2D891BFE"/>
    <w:rsid w:val="2DF17865"/>
    <w:rsid w:val="2E451017"/>
    <w:rsid w:val="2F3A75B5"/>
    <w:rsid w:val="2FF64B62"/>
    <w:rsid w:val="301B1481"/>
    <w:rsid w:val="302F2122"/>
    <w:rsid w:val="303957CD"/>
    <w:rsid w:val="3048151A"/>
    <w:rsid w:val="30555EB3"/>
    <w:rsid w:val="30712346"/>
    <w:rsid w:val="310243BD"/>
    <w:rsid w:val="311B0BF2"/>
    <w:rsid w:val="314D187E"/>
    <w:rsid w:val="31A44322"/>
    <w:rsid w:val="31E0747C"/>
    <w:rsid w:val="32394645"/>
    <w:rsid w:val="324D3E5B"/>
    <w:rsid w:val="327827D9"/>
    <w:rsid w:val="3304214C"/>
    <w:rsid w:val="33B27189"/>
    <w:rsid w:val="343A03B9"/>
    <w:rsid w:val="34732428"/>
    <w:rsid w:val="34BF7D2D"/>
    <w:rsid w:val="353A6398"/>
    <w:rsid w:val="35723155"/>
    <w:rsid w:val="35C40C61"/>
    <w:rsid w:val="360661B8"/>
    <w:rsid w:val="361A5D03"/>
    <w:rsid w:val="362E438C"/>
    <w:rsid w:val="365E0AD7"/>
    <w:rsid w:val="366D54E0"/>
    <w:rsid w:val="36726559"/>
    <w:rsid w:val="36843C95"/>
    <w:rsid w:val="36C92F70"/>
    <w:rsid w:val="36D340DE"/>
    <w:rsid w:val="37395F90"/>
    <w:rsid w:val="37512C70"/>
    <w:rsid w:val="38FC07F7"/>
    <w:rsid w:val="39727E57"/>
    <w:rsid w:val="399E348C"/>
    <w:rsid w:val="39EC1DA3"/>
    <w:rsid w:val="39F20336"/>
    <w:rsid w:val="3A61494C"/>
    <w:rsid w:val="3ACF3E19"/>
    <w:rsid w:val="3B4D7012"/>
    <w:rsid w:val="3B836016"/>
    <w:rsid w:val="3C363D7C"/>
    <w:rsid w:val="3C3F1B92"/>
    <w:rsid w:val="3CDF6238"/>
    <w:rsid w:val="3CE32C12"/>
    <w:rsid w:val="3CF04B1A"/>
    <w:rsid w:val="3D013A72"/>
    <w:rsid w:val="3DB73896"/>
    <w:rsid w:val="3E6E7FE0"/>
    <w:rsid w:val="3F115146"/>
    <w:rsid w:val="3F741E00"/>
    <w:rsid w:val="3F820C6D"/>
    <w:rsid w:val="3FB51B2E"/>
    <w:rsid w:val="3FDF30B9"/>
    <w:rsid w:val="3FF07424"/>
    <w:rsid w:val="40051A20"/>
    <w:rsid w:val="4021114F"/>
    <w:rsid w:val="402F2AF8"/>
    <w:rsid w:val="40456F91"/>
    <w:rsid w:val="407E1A01"/>
    <w:rsid w:val="409769B7"/>
    <w:rsid w:val="417333E5"/>
    <w:rsid w:val="41C503B7"/>
    <w:rsid w:val="41FE6E61"/>
    <w:rsid w:val="4247454B"/>
    <w:rsid w:val="42BD3572"/>
    <w:rsid w:val="43A06275"/>
    <w:rsid w:val="44593212"/>
    <w:rsid w:val="448A61F3"/>
    <w:rsid w:val="468B18EE"/>
    <w:rsid w:val="468E3F61"/>
    <w:rsid w:val="46EB2FDD"/>
    <w:rsid w:val="46F35446"/>
    <w:rsid w:val="476059B8"/>
    <w:rsid w:val="478A2D26"/>
    <w:rsid w:val="47E233FC"/>
    <w:rsid w:val="47ED546E"/>
    <w:rsid w:val="4805451C"/>
    <w:rsid w:val="486F5257"/>
    <w:rsid w:val="48B77CE0"/>
    <w:rsid w:val="48FD3BE5"/>
    <w:rsid w:val="491F2CBC"/>
    <w:rsid w:val="4963372E"/>
    <w:rsid w:val="496E3C4A"/>
    <w:rsid w:val="49F4047F"/>
    <w:rsid w:val="4A8C3A9E"/>
    <w:rsid w:val="4B132A51"/>
    <w:rsid w:val="4B7E2EB9"/>
    <w:rsid w:val="4C1A3E52"/>
    <w:rsid w:val="4C3E3CBE"/>
    <w:rsid w:val="4C7B1CF2"/>
    <w:rsid w:val="4C8B25CF"/>
    <w:rsid w:val="4DF00E7A"/>
    <w:rsid w:val="4E4A139E"/>
    <w:rsid w:val="4E8060AA"/>
    <w:rsid w:val="4EC66922"/>
    <w:rsid w:val="4F92346F"/>
    <w:rsid w:val="4FBC5FFE"/>
    <w:rsid w:val="4FFC29CA"/>
    <w:rsid w:val="4FFF0FDF"/>
    <w:rsid w:val="5074648D"/>
    <w:rsid w:val="5093753B"/>
    <w:rsid w:val="513A4E7E"/>
    <w:rsid w:val="51567316"/>
    <w:rsid w:val="529F2B08"/>
    <w:rsid w:val="52B767BB"/>
    <w:rsid w:val="533D3BFA"/>
    <w:rsid w:val="535037DF"/>
    <w:rsid w:val="53AC03C4"/>
    <w:rsid w:val="553A7676"/>
    <w:rsid w:val="555F4BE1"/>
    <w:rsid w:val="55944860"/>
    <w:rsid w:val="55AC08FF"/>
    <w:rsid w:val="55AD0B87"/>
    <w:rsid w:val="568963CF"/>
    <w:rsid w:val="56E02801"/>
    <w:rsid w:val="56E45B90"/>
    <w:rsid w:val="571C1C97"/>
    <w:rsid w:val="5724220D"/>
    <w:rsid w:val="573C24D4"/>
    <w:rsid w:val="57D961F7"/>
    <w:rsid w:val="57EF27DC"/>
    <w:rsid w:val="58D924DA"/>
    <w:rsid w:val="590D67D5"/>
    <w:rsid w:val="5943066B"/>
    <w:rsid w:val="598F63BF"/>
    <w:rsid w:val="5A456779"/>
    <w:rsid w:val="5A603DF0"/>
    <w:rsid w:val="5A906F0C"/>
    <w:rsid w:val="5ACF4558"/>
    <w:rsid w:val="5B590518"/>
    <w:rsid w:val="5B9519A7"/>
    <w:rsid w:val="5BE51726"/>
    <w:rsid w:val="5BFE1A45"/>
    <w:rsid w:val="5C504F41"/>
    <w:rsid w:val="5C8B3F62"/>
    <w:rsid w:val="5C91102E"/>
    <w:rsid w:val="5CF00054"/>
    <w:rsid w:val="5E6C264F"/>
    <w:rsid w:val="5E9231C0"/>
    <w:rsid w:val="5E9F7789"/>
    <w:rsid w:val="5F357E41"/>
    <w:rsid w:val="5FBB65ED"/>
    <w:rsid w:val="5FF06351"/>
    <w:rsid w:val="60066128"/>
    <w:rsid w:val="605550D1"/>
    <w:rsid w:val="606644D0"/>
    <w:rsid w:val="60E82701"/>
    <w:rsid w:val="618B2385"/>
    <w:rsid w:val="61BD041F"/>
    <w:rsid w:val="61D56C64"/>
    <w:rsid w:val="61FC5533"/>
    <w:rsid w:val="62261666"/>
    <w:rsid w:val="6244537F"/>
    <w:rsid w:val="62A415C0"/>
    <w:rsid w:val="633640A0"/>
    <w:rsid w:val="63575A7C"/>
    <w:rsid w:val="6364630E"/>
    <w:rsid w:val="636F737C"/>
    <w:rsid w:val="63A77AEA"/>
    <w:rsid w:val="63C24BB2"/>
    <w:rsid w:val="63CB4176"/>
    <w:rsid w:val="6414523B"/>
    <w:rsid w:val="64532715"/>
    <w:rsid w:val="65087D28"/>
    <w:rsid w:val="65145B91"/>
    <w:rsid w:val="653030DE"/>
    <w:rsid w:val="657C419A"/>
    <w:rsid w:val="65A92E20"/>
    <w:rsid w:val="671342F0"/>
    <w:rsid w:val="67724F1B"/>
    <w:rsid w:val="67A71763"/>
    <w:rsid w:val="680A7C3F"/>
    <w:rsid w:val="68661122"/>
    <w:rsid w:val="68A94CF4"/>
    <w:rsid w:val="68DA1DE2"/>
    <w:rsid w:val="68E569C7"/>
    <w:rsid w:val="699473D5"/>
    <w:rsid w:val="6A374137"/>
    <w:rsid w:val="6A477FA2"/>
    <w:rsid w:val="6C061371"/>
    <w:rsid w:val="6C132ED7"/>
    <w:rsid w:val="6CFF6351"/>
    <w:rsid w:val="6D121F80"/>
    <w:rsid w:val="6E3518B7"/>
    <w:rsid w:val="6E9557F2"/>
    <w:rsid w:val="6EAE21EA"/>
    <w:rsid w:val="6F24778D"/>
    <w:rsid w:val="7085410F"/>
    <w:rsid w:val="708E55A3"/>
    <w:rsid w:val="70E91DAF"/>
    <w:rsid w:val="720D5BA6"/>
    <w:rsid w:val="729208EB"/>
    <w:rsid w:val="73F97E44"/>
    <w:rsid w:val="74197843"/>
    <w:rsid w:val="74960E48"/>
    <w:rsid w:val="74AD0068"/>
    <w:rsid w:val="75232208"/>
    <w:rsid w:val="75655148"/>
    <w:rsid w:val="7591052F"/>
    <w:rsid w:val="75C4725E"/>
    <w:rsid w:val="767937B1"/>
    <w:rsid w:val="769459E1"/>
    <w:rsid w:val="76BF5CE1"/>
    <w:rsid w:val="78550E30"/>
    <w:rsid w:val="785D2EDA"/>
    <w:rsid w:val="78771137"/>
    <w:rsid w:val="791A4A90"/>
    <w:rsid w:val="794D2DA3"/>
    <w:rsid w:val="7A513A86"/>
    <w:rsid w:val="7AAB14ED"/>
    <w:rsid w:val="7B12497C"/>
    <w:rsid w:val="7B3D31F8"/>
    <w:rsid w:val="7B834CCC"/>
    <w:rsid w:val="7B84576B"/>
    <w:rsid w:val="7BBC3EA7"/>
    <w:rsid w:val="7C7D40DA"/>
    <w:rsid w:val="7C8E36B5"/>
    <w:rsid w:val="7CD27460"/>
    <w:rsid w:val="7D1261C0"/>
    <w:rsid w:val="7D43210F"/>
    <w:rsid w:val="7D571558"/>
    <w:rsid w:val="7DC61E29"/>
    <w:rsid w:val="7DE36CAE"/>
    <w:rsid w:val="7E22639B"/>
    <w:rsid w:val="7EB317E3"/>
    <w:rsid w:val="7ED10B4F"/>
    <w:rsid w:val="7ED651ED"/>
    <w:rsid w:val="7EE079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semiHidden="0" w:name="toc 1"/>
    <w:lsdException w:qFormat="1" w:unhideWhenUsed="0" w:uiPriority="9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qFormat="1" w:unhideWhenUsed="0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9"/>
    <w:pPr>
      <w:keepNext/>
      <w:keepLines/>
      <w:spacing w:beforeLines="100" w:afterLines="100" w:line="360" w:lineRule="auto"/>
      <w:outlineLvl w:val="0"/>
    </w:pPr>
    <w:rPr>
      <w:rFonts w:ascii="Calibri" w:hAnsi="Calibri"/>
      <w:b/>
      <w:kern w:val="0"/>
      <w:sz w:val="32"/>
      <w:szCs w:val="20"/>
    </w:rPr>
  </w:style>
  <w:style w:type="paragraph" w:styleId="3">
    <w:name w:val="heading 2"/>
    <w:basedOn w:val="1"/>
    <w:next w:val="1"/>
    <w:link w:val="20"/>
    <w:qFormat/>
    <w:uiPriority w:val="99"/>
    <w:pPr>
      <w:keepNext/>
      <w:keepLines/>
      <w:spacing w:beforeLines="100" w:line="360" w:lineRule="auto"/>
      <w:outlineLvl w:val="1"/>
    </w:pPr>
    <w:rPr>
      <w:rFonts w:ascii="Arial" w:hAnsi="Arial"/>
      <w:kern w:val="0"/>
      <w:sz w:val="28"/>
      <w:szCs w:val="20"/>
    </w:rPr>
  </w:style>
  <w:style w:type="paragraph" w:styleId="4">
    <w:name w:val="heading 3"/>
    <w:basedOn w:val="1"/>
    <w:next w:val="1"/>
    <w:link w:val="21"/>
    <w:qFormat/>
    <w:uiPriority w:val="99"/>
    <w:pPr>
      <w:keepNext/>
      <w:keepLines/>
      <w:spacing w:before="260" w:after="260" w:line="413" w:lineRule="auto"/>
      <w:outlineLvl w:val="2"/>
    </w:pPr>
    <w:rPr>
      <w:sz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99"/>
    <w:pPr>
      <w:jc w:val="left"/>
    </w:pPr>
  </w:style>
  <w:style w:type="paragraph" w:styleId="6">
    <w:name w:val="Body Text"/>
    <w:basedOn w:val="1"/>
    <w:link w:val="24"/>
    <w:qFormat/>
    <w:uiPriority w:val="99"/>
    <w:pPr>
      <w:ind w:left="1960"/>
    </w:pPr>
    <w:rPr>
      <w:rFonts w:ascii="PMingLiU" w:hAnsi="PMingLiU" w:eastAsia="PMingLiU" w:cs="PMingLiU"/>
      <w:sz w:val="42"/>
      <w:szCs w:val="42"/>
      <w:lang w:val="zh-CN"/>
    </w:rPr>
  </w:style>
  <w:style w:type="paragraph" w:styleId="7">
    <w:name w:val="Date"/>
    <w:basedOn w:val="1"/>
    <w:next w:val="1"/>
    <w:link w:val="25"/>
    <w:qFormat/>
    <w:uiPriority w:val="99"/>
    <w:pPr>
      <w:ind w:left="100" w:leftChars="2500"/>
    </w:pPr>
  </w:style>
  <w:style w:type="paragraph" w:styleId="8">
    <w:name w:val="Body Text Indent 2"/>
    <w:basedOn w:val="1"/>
    <w:link w:val="22"/>
    <w:qFormat/>
    <w:uiPriority w:val="99"/>
    <w:pPr>
      <w:spacing w:after="120" w:line="480" w:lineRule="auto"/>
      <w:ind w:left="420" w:leftChars="200"/>
    </w:pPr>
  </w:style>
  <w:style w:type="paragraph" w:styleId="9">
    <w:name w:val="Balloon Text"/>
    <w:basedOn w:val="1"/>
    <w:link w:val="26"/>
    <w:qFormat/>
    <w:uiPriority w:val="99"/>
    <w:rPr>
      <w:sz w:val="18"/>
      <w:szCs w:val="18"/>
    </w:rPr>
  </w:style>
  <w:style w:type="paragraph" w:styleId="10">
    <w:name w:val="footer"/>
    <w:basedOn w:val="1"/>
    <w:link w:val="2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2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99"/>
    <w:rPr>
      <w:b/>
    </w:rPr>
  </w:style>
  <w:style w:type="paragraph" w:styleId="13">
    <w:name w:val="toc 2"/>
    <w:basedOn w:val="1"/>
    <w:next w:val="1"/>
    <w:qFormat/>
    <w:uiPriority w:val="99"/>
    <w:pPr>
      <w:ind w:left="420" w:leftChars="200"/>
    </w:pPr>
  </w:style>
  <w:style w:type="paragraph" w:styleId="14">
    <w:name w:val="Body Text First Indent"/>
    <w:basedOn w:val="6"/>
    <w:link w:val="29"/>
    <w:qFormat/>
    <w:uiPriority w:val="99"/>
    <w:pPr>
      <w:ind w:firstLine="420" w:firstLineChars="100"/>
    </w:pPr>
  </w:style>
  <w:style w:type="table" w:styleId="16">
    <w:name w:val="Table Grid"/>
    <w:basedOn w:val="15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19">
    <w:name w:val="标题 1 Char"/>
    <w:link w:val="2"/>
    <w:qFormat/>
    <w:locked/>
    <w:uiPriority w:val="99"/>
    <w:rPr>
      <w:rFonts w:ascii="Calibri" w:hAnsi="Calibri" w:eastAsia="宋体"/>
      <w:b/>
      <w:kern w:val="0"/>
      <w:sz w:val="32"/>
    </w:rPr>
  </w:style>
  <w:style w:type="character" w:customStyle="1" w:styleId="20">
    <w:name w:val="标题 2 Char"/>
    <w:link w:val="3"/>
    <w:qFormat/>
    <w:locked/>
    <w:uiPriority w:val="99"/>
    <w:rPr>
      <w:rFonts w:ascii="Arial" w:hAnsi="Arial" w:eastAsia="宋体"/>
      <w:sz w:val="28"/>
    </w:rPr>
  </w:style>
  <w:style w:type="character" w:customStyle="1" w:styleId="21">
    <w:name w:val="标题 3 Char"/>
    <w:link w:val="4"/>
    <w:semiHidden/>
    <w:qFormat/>
    <w:uiPriority w:val="9"/>
    <w:rPr>
      <w:rFonts w:ascii="Times New Roman" w:hAnsi="Times New Roman"/>
      <w:b/>
      <w:bCs/>
      <w:sz w:val="32"/>
      <w:szCs w:val="32"/>
    </w:rPr>
  </w:style>
  <w:style w:type="character" w:customStyle="1" w:styleId="22">
    <w:name w:val="正文文本缩进 2 Char"/>
    <w:link w:val="8"/>
    <w:semiHidden/>
    <w:qFormat/>
    <w:uiPriority w:val="99"/>
    <w:rPr>
      <w:rFonts w:ascii="Times New Roman" w:hAnsi="Times New Roman"/>
      <w:szCs w:val="24"/>
    </w:rPr>
  </w:style>
  <w:style w:type="character" w:customStyle="1" w:styleId="23">
    <w:name w:val="批注文字 Char"/>
    <w:link w:val="5"/>
    <w:semiHidden/>
    <w:qFormat/>
    <w:uiPriority w:val="99"/>
    <w:rPr>
      <w:rFonts w:ascii="Times New Roman" w:hAnsi="Times New Roman"/>
      <w:szCs w:val="24"/>
    </w:rPr>
  </w:style>
  <w:style w:type="character" w:customStyle="1" w:styleId="24">
    <w:name w:val="正文文本 Char"/>
    <w:link w:val="6"/>
    <w:semiHidden/>
    <w:qFormat/>
    <w:uiPriority w:val="99"/>
    <w:rPr>
      <w:rFonts w:ascii="Times New Roman" w:hAnsi="Times New Roman"/>
      <w:szCs w:val="24"/>
    </w:rPr>
  </w:style>
  <w:style w:type="character" w:customStyle="1" w:styleId="25">
    <w:name w:val="日期 Char"/>
    <w:link w:val="7"/>
    <w:qFormat/>
    <w:locked/>
    <w:uiPriority w:val="99"/>
    <w:rPr>
      <w:rFonts w:eastAsia="宋体" w:cs="Times New Roman"/>
      <w:kern w:val="2"/>
      <w:sz w:val="24"/>
      <w:szCs w:val="24"/>
    </w:rPr>
  </w:style>
  <w:style w:type="character" w:customStyle="1" w:styleId="26">
    <w:name w:val="批注框文本 Char"/>
    <w:link w:val="9"/>
    <w:qFormat/>
    <w:locked/>
    <w:uiPriority w:val="99"/>
    <w:rPr>
      <w:rFonts w:eastAsia="宋体" w:cs="Times New Roman"/>
      <w:kern w:val="2"/>
      <w:sz w:val="18"/>
      <w:szCs w:val="18"/>
    </w:rPr>
  </w:style>
  <w:style w:type="character" w:customStyle="1" w:styleId="27">
    <w:name w:val="页脚 Char"/>
    <w:link w:val="10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28">
    <w:name w:val="页眉 Char"/>
    <w:link w:val="11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29">
    <w:name w:val="正文首行缩进 Char"/>
    <w:link w:val="14"/>
    <w:semiHidden/>
    <w:qFormat/>
    <w:uiPriority w:val="99"/>
    <w:rPr>
      <w:rFonts w:ascii="Times New Roman" w:hAnsi="Times New Roman"/>
      <w:szCs w:val="24"/>
    </w:rPr>
  </w:style>
  <w:style w:type="paragraph" w:styleId="30">
    <w:name w:val="List Paragraph"/>
    <w:basedOn w:val="1"/>
    <w:qFormat/>
    <w:uiPriority w:val="99"/>
    <w:pPr>
      <w:ind w:left="3460" w:hanging="620"/>
    </w:pPr>
    <w:rPr>
      <w:rFonts w:ascii="PMingLiU" w:hAnsi="PMingLiU" w:eastAsia="PMingLiU" w:cs="PMingLiU"/>
      <w:lang w:val="zh-CN"/>
    </w:rPr>
  </w:style>
  <w:style w:type="paragraph" w:customStyle="1" w:styleId="31">
    <w:name w:val="p0"/>
    <w:basedOn w:val="1"/>
    <w:qFormat/>
    <w:uiPriority w:val="99"/>
    <w:pPr>
      <w:widowControl/>
    </w:pPr>
    <w:rPr>
      <w:kern w:val="0"/>
      <w:szCs w:val="21"/>
    </w:rPr>
  </w:style>
  <w:style w:type="paragraph" w:customStyle="1" w:styleId="32">
    <w:name w:val="WPSOffice手动目录 1"/>
    <w:qFormat/>
    <w:uiPriority w:val="99"/>
    <w:rPr>
      <w:rFonts w:ascii="Calibri" w:hAnsi="Calibri" w:eastAsia="宋体" w:cs="Times New Roman"/>
      <w:lang w:val="en-US" w:eastAsia="zh-CN" w:bidi="ar-SA"/>
    </w:rPr>
  </w:style>
  <w:style w:type="paragraph" w:customStyle="1" w:styleId="33">
    <w:name w:val="WPSOffice手动目录 2"/>
    <w:qFormat/>
    <w:uiPriority w:val="99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34">
    <w:name w:val="WPSOffice手动目录 3"/>
    <w:qFormat/>
    <w:uiPriority w:val="99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paragraph" w:customStyle="1" w:styleId="35">
    <w:name w:val="款编号"/>
    <w:basedOn w:val="1"/>
    <w:qFormat/>
    <w:uiPriority w:val="99"/>
    <w:pPr>
      <w:adjustRightInd w:val="0"/>
      <w:snapToGrid w:val="0"/>
      <w:spacing w:line="440" w:lineRule="atLeast"/>
      <w:ind w:firstLine="200" w:firstLineChars="200"/>
      <w:jc w:val="left"/>
    </w:pPr>
    <w:rPr>
      <w:rFonts w:ascii="黑体" w:hAnsi="宋体" w:eastAsia="黑体"/>
      <w:bCs/>
      <w:sz w:val="24"/>
    </w:rPr>
  </w:style>
  <w:style w:type="paragraph" w:customStyle="1" w:styleId="36">
    <w:name w:val="表格"/>
    <w:basedOn w:val="1"/>
    <w:qFormat/>
    <w:uiPriority w:val="1"/>
    <w:pPr>
      <w:autoSpaceDE w:val="0"/>
      <w:autoSpaceDN w:val="0"/>
      <w:spacing w:line="240" w:lineRule="auto"/>
      <w:ind w:firstLine="0" w:firstLineChars="0"/>
      <w:jc w:val="center"/>
    </w:pPr>
    <w:rPr>
      <w:rFonts w:ascii="仿宋" w:hAnsi="仿宋" w:eastAsia="仿宋" w:cs="仿宋"/>
      <w:kern w:val="0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4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header" Target="head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2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0" Type="http://schemas.openxmlformats.org/officeDocument/2006/relationships/fontTable" Target="fontTable.xm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6413</Words>
  <Characters>6863</Characters>
  <Lines>14</Lines>
  <Paragraphs>4</Paragraphs>
  <TotalTime>11</TotalTime>
  <ScaleCrop>false</ScaleCrop>
  <LinksUpToDate>false</LinksUpToDate>
  <CharactersWithSpaces>7048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2019-10-13T10:52:00Z</dcterms:created>
  <dc:creator>Administrator</dc:creator>
  <cp:lastModifiedBy>田田</cp:lastModifiedBy>
  <dcterms:modified xsi:type="dcterms:W3CDTF">2025-08-08T02:10:06Z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6E4A8AAE305B49E1B6EAB58253761DD0_13</vt:lpwstr>
  </property>
  <property fmtid="{D5CDD505-2E9C-101B-9397-08002B2CF9AE}" pid="4" name="KSOTemplateDocerSaveRecord">
    <vt:lpwstr>eyJoZGlkIjoiZjhkMDJiM2Y3MGY4MTg5MzA1NjYwNDIxY2I5N2M4MzciLCJ1c2VySWQiOiIyNjQ1MDg4OTEifQ==</vt:lpwstr>
  </property>
</Properties>
</file>